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D941" w14:textId="77777777" w:rsidR="00F129D8" w:rsidRDefault="00C3124F" w:rsidP="00C5307C">
      <w:pPr>
        <w:ind w:left="-1560"/>
      </w:pPr>
      <w:r>
        <w:rPr>
          <w:noProof/>
          <w:lang w:eastAsia="it-IT"/>
        </w:rPr>
        <w:drawing>
          <wp:inline distT="0" distB="0" distL="0" distR="0" wp14:anchorId="74085EC2" wp14:editId="00283889">
            <wp:extent cx="3094892" cy="609600"/>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DEJALE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2131" cy="614965"/>
                    </a:xfrm>
                    <a:prstGeom prst="rect">
                      <a:avLst/>
                    </a:prstGeom>
                  </pic:spPr>
                </pic:pic>
              </a:graphicData>
            </a:graphic>
          </wp:inline>
        </w:drawing>
      </w:r>
      <w:r>
        <w:softHyphen/>
      </w:r>
    </w:p>
    <w:p w14:paraId="36AA5A2C" w14:textId="77777777" w:rsidR="00B01197" w:rsidRDefault="00B01197"/>
    <w:p w14:paraId="40520F5E" w14:textId="77777777" w:rsidR="00BA3B03" w:rsidRDefault="00BA3B03"/>
    <w:p w14:paraId="27246AA2" w14:textId="77777777" w:rsidR="00BA3B03" w:rsidRDefault="00BA3B03"/>
    <w:p w14:paraId="3B1B8864" w14:textId="77777777" w:rsidR="00BA3B03" w:rsidRDefault="00BA3B03"/>
    <w:p w14:paraId="2A4C3F5E" w14:textId="77777777" w:rsidR="00BA3B03" w:rsidRDefault="00BA3B03"/>
    <w:tbl>
      <w:tblPr>
        <w:tblStyle w:val="Grigliatabella"/>
        <w:tblW w:w="0" w:type="auto"/>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356"/>
      </w:tblGrid>
      <w:tr w:rsidR="0054360A" w:rsidRPr="00DB41CA" w14:paraId="7312B9E2" w14:textId="77777777" w:rsidTr="00AA2CA7">
        <w:trPr>
          <w:trHeight w:val="1417"/>
        </w:trPr>
        <w:tc>
          <w:tcPr>
            <w:tcW w:w="9356" w:type="dxa"/>
          </w:tcPr>
          <w:p w14:paraId="4A27C739" w14:textId="50FC4BA3" w:rsidR="0054360A" w:rsidRPr="00CC2FF5" w:rsidRDefault="00CC2FF5" w:rsidP="00CC2FF5">
            <w:pPr>
              <w:rPr>
                <w:rFonts w:eastAsia="Times New Roman" w:cs="Arial"/>
                <w:bCs/>
                <w:color w:val="01122B"/>
                <w:sz w:val="54"/>
                <w:szCs w:val="54"/>
                <w:lang w:eastAsia="it-IT"/>
              </w:rPr>
            </w:pPr>
            <w:r w:rsidRPr="00CC2FF5">
              <w:rPr>
                <w:color w:val="01122B"/>
                <w:sz w:val="54"/>
                <w:szCs w:val="54"/>
              </w:rPr>
              <w:t>Risanamento e risoluzione degli enti creditizi. Il Tribunale dell’Unione Europea si pronuncia sull’annullamento della decisione della BCE di assoggettare Banca Carige ad amministrazione straordinaria</w:t>
            </w:r>
          </w:p>
        </w:tc>
      </w:tr>
    </w:tbl>
    <w:p w14:paraId="30720DAF" w14:textId="77777777" w:rsidR="0054360A" w:rsidRPr="006855FE" w:rsidRDefault="0054360A"/>
    <w:tbl>
      <w:tblPr>
        <w:tblStyle w:val="Grigliatabella"/>
        <w:tblW w:w="9644" w:type="dxa"/>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985"/>
        <w:gridCol w:w="7659"/>
      </w:tblGrid>
      <w:tr w:rsidR="001E0347" w:rsidRPr="006855FE" w14:paraId="016B0CEC" w14:textId="77777777" w:rsidTr="001E0347">
        <w:trPr>
          <w:trHeight w:val="537"/>
        </w:trPr>
        <w:tc>
          <w:tcPr>
            <w:tcW w:w="1985" w:type="dxa"/>
            <w:vAlign w:val="center"/>
          </w:tcPr>
          <w:p w14:paraId="2283D2B6" w14:textId="59141A52" w:rsidR="0054360A" w:rsidRPr="004F2321" w:rsidRDefault="001E0347" w:rsidP="00EE6005">
            <w:pPr>
              <w:jc w:val="center"/>
              <w:rPr>
                <w:color w:val="01122B"/>
                <w:sz w:val="18"/>
              </w:rPr>
            </w:pPr>
            <w:r w:rsidRPr="009F555A">
              <w:rPr>
                <w:noProof/>
                <w:color w:val="01122B"/>
                <w:lang w:eastAsia="it-IT"/>
              </w:rPr>
              <w:drawing>
                <wp:anchor distT="0" distB="0" distL="114300" distR="114300" simplePos="0" relativeHeight="251677696" behindDoc="0" locked="0" layoutInCell="1" allowOverlap="1" wp14:anchorId="220D7D38" wp14:editId="7A898F94">
                  <wp:simplePos x="0" y="0"/>
                  <wp:positionH relativeFrom="column">
                    <wp:posOffset>1057910</wp:posOffset>
                  </wp:positionH>
                  <wp:positionV relativeFrom="paragraph">
                    <wp:posOffset>-49530</wp:posOffset>
                  </wp:positionV>
                  <wp:extent cx="179070" cy="179070"/>
                  <wp:effectExtent l="0" t="0" r="0" b="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9070" cy="179070"/>
                          </a:xfrm>
                          <a:prstGeom prst="rect">
                            <a:avLst/>
                          </a:prstGeom>
                        </pic:spPr>
                      </pic:pic>
                    </a:graphicData>
                  </a:graphic>
                  <wp14:sizeRelH relativeFrom="margin">
                    <wp14:pctWidth>0</wp14:pctWidth>
                  </wp14:sizeRelH>
                  <wp14:sizeRelV relativeFrom="margin">
                    <wp14:pctHeight>0</wp14:pctHeight>
                  </wp14:sizeRelV>
                </wp:anchor>
              </w:drawing>
            </w:r>
            <w:r w:rsidR="0054360A" w:rsidRPr="009F555A">
              <w:rPr>
                <w:noProof/>
                <w:color w:val="01122B"/>
                <w:lang w:eastAsia="it-IT"/>
              </w:rPr>
              <w:drawing>
                <wp:anchor distT="0" distB="0" distL="114300" distR="114300" simplePos="0" relativeHeight="251675648" behindDoc="0" locked="0" layoutInCell="1" allowOverlap="1" wp14:anchorId="0A561EE0" wp14:editId="24EB1F77">
                  <wp:simplePos x="0" y="0"/>
                  <wp:positionH relativeFrom="column">
                    <wp:posOffset>33655</wp:posOffset>
                  </wp:positionH>
                  <wp:positionV relativeFrom="paragraph">
                    <wp:posOffset>-38735</wp:posOffset>
                  </wp:positionV>
                  <wp:extent cx="179070" cy="179705"/>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9070" cy="179705"/>
                          </a:xfrm>
                          <a:prstGeom prst="rect">
                            <a:avLst/>
                          </a:prstGeom>
                        </pic:spPr>
                      </pic:pic>
                    </a:graphicData>
                  </a:graphic>
                  <wp14:sizeRelH relativeFrom="page">
                    <wp14:pctWidth>0</wp14:pctWidth>
                  </wp14:sizeRelH>
                  <wp14:sizeRelV relativeFrom="page">
                    <wp14:pctHeight>0</wp14:pctHeight>
                  </wp14:sizeRelV>
                </wp:anchor>
              </w:drawing>
            </w:r>
            <w:r w:rsidR="00CC2FF5">
              <w:rPr>
                <w:color w:val="01122B"/>
                <w:sz w:val="18"/>
              </w:rPr>
              <w:t>0</w:t>
            </w:r>
            <w:r w:rsidR="00477BC2">
              <w:rPr>
                <w:color w:val="01122B"/>
                <w:sz w:val="18"/>
              </w:rPr>
              <w:t>2</w:t>
            </w:r>
            <w:r w:rsidR="00CC2FF5">
              <w:rPr>
                <w:color w:val="01122B"/>
                <w:sz w:val="18"/>
              </w:rPr>
              <w:t>/12</w:t>
            </w:r>
            <w:r w:rsidR="004D1600" w:rsidRPr="004F2321">
              <w:rPr>
                <w:color w:val="01122B"/>
                <w:sz w:val="18"/>
              </w:rPr>
              <w:t>/20</w:t>
            </w:r>
            <w:r w:rsidR="004F2321">
              <w:rPr>
                <w:color w:val="01122B"/>
                <w:sz w:val="18"/>
              </w:rPr>
              <w:t>2</w:t>
            </w:r>
            <w:r w:rsidR="00AF56DD">
              <w:rPr>
                <w:color w:val="01122B"/>
                <w:sz w:val="18"/>
              </w:rPr>
              <w:t>2</w:t>
            </w:r>
          </w:p>
        </w:tc>
        <w:tc>
          <w:tcPr>
            <w:tcW w:w="7659" w:type="dxa"/>
            <w:vAlign w:val="center"/>
          </w:tcPr>
          <w:p w14:paraId="36374551" w14:textId="54524669" w:rsidR="0054360A" w:rsidRPr="006855FE" w:rsidRDefault="0054224B" w:rsidP="00CC2FF5">
            <w:pPr>
              <w:rPr>
                <w:color w:val="01122B"/>
                <w:sz w:val="18"/>
              </w:rPr>
            </w:pPr>
            <w:r>
              <w:rPr>
                <w:color w:val="01122B"/>
                <w:sz w:val="18"/>
              </w:rPr>
              <w:t xml:space="preserve">DIRITTO EUROPEO E DELLA CONCORRENZA, </w:t>
            </w:r>
            <w:r w:rsidR="00CC2FF5">
              <w:rPr>
                <w:color w:val="01122B"/>
                <w:sz w:val="18"/>
              </w:rPr>
              <w:t>DIRITTO BANCARIO E DEI MERCATI FINANZIARI</w:t>
            </w:r>
            <w:r>
              <w:rPr>
                <w:color w:val="01122B"/>
                <w:sz w:val="18"/>
              </w:rPr>
              <w:t>, CONTENZIOSO</w:t>
            </w:r>
          </w:p>
        </w:tc>
      </w:tr>
    </w:tbl>
    <w:p w14:paraId="02DB5AB5" w14:textId="77777777" w:rsidR="0054360A" w:rsidRPr="006855FE" w:rsidRDefault="0054360A"/>
    <w:tbl>
      <w:tblPr>
        <w:tblStyle w:val="Grigliatabella"/>
        <w:tblW w:w="0" w:type="auto"/>
        <w:tblInd w:w="-1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356"/>
      </w:tblGrid>
      <w:tr w:rsidR="0054360A" w:rsidRPr="0054360A" w14:paraId="306250B8" w14:textId="77777777" w:rsidTr="0054360A">
        <w:trPr>
          <w:trHeight w:val="697"/>
        </w:trPr>
        <w:tc>
          <w:tcPr>
            <w:tcW w:w="9356" w:type="dxa"/>
            <w:vAlign w:val="center"/>
          </w:tcPr>
          <w:p w14:paraId="37180AC7" w14:textId="77777777" w:rsidR="0054360A" w:rsidRPr="0054360A" w:rsidRDefault="006855FE" w:rsidP="0054360A">
            <w:pPr>
              <w:pStyle w:val="AUTORI"/>
              <w:rPr>
                <w:color w:val="0C2340"/>
              </w:rPr>
            </w:pPr>
            <w:r>
              <w:rPr>
                <w:color w:val="D31567"/>
              </w:rPr>
              <w:t>Marco Stillo</w:t>
            </w:r>
          </w:p>
        </w:tc>
      </w:tr>
    </w:tbl>
    <w:p w14:paraId="46BF6B86" w14:textId="77777777" w:rsidR="000661E5" w:rsidRPr="009F555A" w:rsidRDefault="000661E5" w:rsidP="000661E5">
      <w:pPr>
        <w:rPr>
          <w:sz w:val="24"/>
        </w:rPr>
      </w:pPr>
    </w:p>
    <w:p w14:paraId="388CD4DD" w14:textId="77777777" w:rsidR="00A93D00" w:rsidRPr="009F555A" w:rsidRDefault="00A93D00" w:rsidP="00A93D00">
      <w:pPr>
        <w:rPr>
          <w:szCs w:val="20"/>
        </w:rPr>
        <w:sectPr w:rsidR="00A93D00" w:rsidRPr="009F555A" w:rsidSect="00C5307C">
          <w:footerReference w:type="even" r:id="rId11"/>
          <w:footerReference w:type="default" r:id="rId12"/>
          <w:headerReference w:type="first" r:id="rId13"/>
          <w:footerReference w:type="first" r:id="rId14"/>
          <w:pgSz w:w="11900" w:h="16840"/>
          <w:pgMar w:top="2869" w:right="1134" w:bottom="1134" w:left="2835" w:header="709" w:footer="462" w:gutter="0"/>
          <w:pgNumType w:start="1"/>
          <w:cols w:space="708"/>
          <w:titlePg/>
          <w:docGrid w:linePitch="360"/>
          <w15:footnoteColumns w:val="1"/>
        </w:sectPr>
      </w:pPr>
    </w:p>
    <w:p w14:paraId="6942C7C3" w14:textId="77777777" w:rsidR="00CC2FF5" w:rsidRPr="00CC2FF5" w:rsidRDefault="0016116A" w:rsidP="00CC2FF5">
      <w:pPr>
        <w:spacing w:before="240" w:after="240"/>
        <w:rPr>
          <w:rFonts w:cs="Arial"/>
          <w:color w:val="0C2340"/>
          <w:szCs w:val="20"/>
        </w:rPr>
      </w:pPr>
      <w:r>
        <w:rPr>
          <w:rFonts w:cs="Arial"/>
          <w:b/>
          <w:bCs/>
          <w:color w:val="D31567"/>
          <w:sz w:val="54"/>
          <w:szCs w:val="54"/>
        </w:rPr>
        <w:t>I</w:t>
      </w:r>
      <w:r w:rsidRPr="00CC2FF5">
        <w:rPr>
          <w:iCs/>
          <w:color w:val="0C2340"/>
          <w:szCs w:val="20"/>
        </w:rPr>
        <w:t xml:space="preserve">n </w:t>
      </w:r>
      <w:r w:rsidR="00CC2FF5" w:rsidRPr="00CC2FF5">
        <w:rPr>
          <w:rFonts w:cs="Arial"/>
          <w:color w:val="0C2340"/>
          <w:szCs w:val="20"/>
        </w:rPr>
        <w:t>data 12 ottobre 2022, il Tribunale dell’Unione Europea si è pronunciato nella Causa T-502/19</w:t>
      </w:r>
      <w:r w:rsidR="00CC2FF5" w:rsidRPr="00CC2FF5">
        <w:rPr>
          <w:rFonts w:cs="Arial"/>
          <w:bCs/>
          <w:color w:val="0C2340"/>
          <w:szCs w:val="20"/>
        </w:rPr>
        <w:t>,</w:t>
      </w:r>
      <w:r w:rsidR="00CC2FF5" w:rsidRPr="00CC2FF5">
        <w:rPr>
          <w:rFonts w:cs="Arial"/>
          <w:color w:val="0C2340"/>
          <w:szCs w:val="20"/>
        </w:rPr>
        <w:t xml:space="preserve"> </w:t>
      </w:r>
      <w:r w:rsidR="00CC2FF5" w:rsidRPr="00CC2FF5">
        <w:rPr>
          <w:rFonts w:eastAsia="Times New Roman" w:cs="Arial"/>
          <w:bCs/>
          <w:i/>
          <w:color w:val="0C2340"/>
          <w:szCs w:val="20"/>
          <w:shd w:val="clear" w:color="auto" w:fill="FFFFFF"/>
          <w:lang w:eastAsia="it-IT"/>
        </w:rPr>
        <w:t>Francesca Corneli contro Banca centrale europea (BCE)</w:t>
      </w:r>
      <w:r w:rsidR="00CC2FF5" w:rsidRPr="00CC2FF5">
        <w:rPr>
          <w:rFonts w:eastAsia="Times New Roman" w:cs="Arial"/>
          <w:bCs/>
          <w:color w:val="0C2340"/>
          <w:szCs w:val="20"/>
          <w:shd w:val="clear" w:color="auto" w:fill="FFFFFF"/>
          <w:lang w:eastAsia="it-IT"/>
        </w:rPr>
        <w:t>,</w:t>
      </w:r>
      <w:r w:rsidR="00CC2FF5" w:rsidRPr="00CC2FF5">
        <w:rPr>
          <w:rFonts w:cs="Arial"/>
          <w:color w:val="0C2340"/>
          <w:szCs w:val="20"/>
        </w:rPr>
        <w:t xml:space="preserve"> sul ricorso con cui </w:t>
      </w:r>
      <w:r w:rsidR="00CC2FF5" w:rsidRPr="00CC2FF5">
        <w:rPr>
          <w:rFonts w:cs="Arial"/>
          <w:color w:val="0C2340"/>
          <w:szCs w:val="20"/>
          <w:lang w:eastAsia="it-IT"/>
        </w:rPr>
        <w:t xml:space="preserve">la sig.ra Francesca Corneli </w:t>
      </w:r>
      <w:r w:rsidR="00CC2FF5" w:rsidRPr="00EA5966">
        <w:rPr>
          <w:rFonts w:cs="Arial"/>
          <w:color w:val="0C2340"/>
          <w:szCs w:val="20"/>
          <w:lang w:eastAsia="it-IT"/>
        </w:rPr>
        <w:t>chiede</w:t>
      </w:r>
      <w:r w:rsidR="00CC2FF5" w:rsidRPr="00CC2FF5">
        <w:rPr>
          <w:rFonts w:cs="Arial"/>
          <w:color w:val="0C2340"/>
          <w:szCs w:val="20"/>
          <w:lang w:eastAsia="it-IT"/>
        </w:rPr>
        <w:t>va</w:t>
      </w:r>
      <w:r w:rsidR="00CC2FF5" w:rsidRPr="00EA5966">
        <w:rPr>
          <w:rFonts w:cs="Arial"/>
          <w:color w:val="0C2340"/>
          <w:szCs w:val="20"/>
          <w:lang w:eastAsia="it-IT"/>
        </w:rPr>
        <w:t xml:space="preserve"> l’annullamento della decisione ECB-SSM-2019-ITCAR-11 della </w:t>
      </w:r>
      <w:r w:rsidR="00CC2FF5" w:rsidRPr="00CC2FF5">
        <w:rPr>
          <w:rFonts w:cs="Arial"/>
          <w:color w:val="0C2340"/>
          <w:szCs w:val="20"/>
          <w:lang w:eastAsia="it-IT"/>
        </w:rPr>
        <w:t>Banca Centrale Europea (</w:t>
      </w:r>
      <w:r w:rsidR="00CC2FF5" w:rsidRPr="00EA5966">
        <w:rPr>
          <w:rFonts w:cs="Arial"/>
          <w:color w:val="0C2340"/>
          <w:szCs w:val="20"/>
          <w:lang w:eastAsia="it-IT"/>
        </w:rPr>
        <w:t>BCE</w:t>
      </w:r>
      <w:r w:rsidR="00CC2FF5" w:rsidRPr="00CC2FF5">
        <w:rPr>
          <w:rFonts w:cs="Arial"/>
          <w:color w:val="0C2340"/>
          <w:szCs w:val="20"/>
          <w:lang w:eastAsia="it-IT"/>
        </w:rPr>
        <w:t>)</w:t>
      </w:r>
      <w:r w:rsidR="00CC2FF5" w:rsidRPr="00EA5966">
        <w:rPr>
          <w:rFonts w:cs="Arial"/>
          <w:color w:val="0C2340"/>
          <w:szCs w:val="20"/>
          <w:lang w:eastAsia="it-IT"/>
        </w:rPr>
        <w:t xml:space="preserve">, del 1° gennaio 2019, che </w:t>
      </w:r>
      <w:r w:rsidR="00CC2FF5" w:rsidRPr="00CC2FF5">
        <w:rPr>
          <w:rFonts w:cs="Arial"/>
          <w:color w:val="0C2340"/>
          <w:szCs w:val="20"/>
          <w:lang w:eastAsia="it-IT"/>
        </w:rPr>
        <w:t xml:space="preserve">aveva </w:t>
      </w:r>
      <w:r w:rsidR="00CC2FF5" w:rsidRPr="00EA5966">
        <w:rPr>
          <w:rFonts w:cs="Arial"/>
          <w:color w:val="0C2340"/>
          <w:szCs w:val="20"/>
          <w:lang w:eastAsia="it-IT"/>
        </w:rPr>
        <w:t>assoggetta</w:t>
      </w:r>
      <w:r w:rsidR="00CC2FF5" w:rsidRPr="00CC2FF5">
        <w:rPr>
          <w:rFonts w:cs="Arial"/>
          <w:color w:val="0C2340"/>
          <w:szCs w:val="20"/>
          <w:lang w:eastAsia="it-IT"/>
        </w:rPr>
        <w:t xml:space="preserve">to la </w:t>
      </w:r>
      <w:r w:rsidR="00CC2FF5" w:rsidRPr="00CC2FF5">
        <w:rPr>
          <w:rFonts w:cs="Arial"/>
          <w:i/>
          <w:color w:val="0C2340"/>
          <w:szCs w:val="20"/>
          <w:lang w:eastAsia="it-IT"/>
        </w:rPr>
        <w:t>Banca Carige SpA</w:t>
      </w:r>
      <w:r w:rsidR="00CC2FF5" w:rsidRPr="00CC2FF5">
        <w:rPr>
          <w:rFonts w:cs="Arial"/>
          <w:color w:val="0C2340"/>
          <w:szCs w:val="20"/>
          <w:lang w:eastAsia="it-IT"/>
        </w:rPr>
        <w:t xml:space="preserve"> (“Carige”</w:t>
      </w:r>
      <w:r w:rsidR="00CC2FF5" w:rsidRPr="00EA5966">
        <w:rPr>
          <w:rFonts w:cs="Arial"/>
          <w:color w:val="0C2340"/>
          <w:szCs w:val="20"/>
          <w:lang w:eastAsia="it-IT"/>
        </w:rPr>
        <w:t>) ad</w:t>
      </w:r>
      <w:r w:rsidR="00CC2FF5" w:rsidRPr="00CC2FF5">
        <w:rPr>
          <w:rFonts w:cs="Arial"/>
          <w:color w:val="0C2340"/>
          <w:szCs w:val="20"/>
          <w:lang w:eastAsia="it-IT"/>
        </w:rPr>
        <w:t xml:space="preserve"> amministrazione straordinaria, </w:t>
      </w:r>
      <w:r w:rsidR="00CC2FF5" w:rsidRPr="00EA5966">
        <w:rPr>
          <w:rFonts w:cs="Arial"/>
          <w:color w:val="0C2340"/>
          <w:szCs w:val="20"/>
          <w:lang w:eastAsia="it-IT"/>
        </w:rPr>
        <w:t>nonché</w:t>
      </w:r>
      <w:r w:rsidR="00CC2FF5" w:rsidRPr="00CC2FF5">
        <w:rPr>
          <w:rFonts w:cs="Arial"/>
          <w:color w:val="0C2340"/>
          <w:szCs w:val="20"/>
          <w:lang w:eastAsia="it-IT"/>
        </w:rPr>
        <w:t xml:space="preserve"> della</w:t>
      </w:r>
      <w:r w:rsidR="00CC2FF5" w:rsidRPr="00EA5966">
        <w:rPr>
          <w:rFonts w:cs="Arial"/>
          <w:color w:val="0C2340"/>
          <w:szCs w:val="20"/>
          <w:lang w:eastAsia="it-IT"/>
        </w:rPr>
        <w:t xml:space="preserve"> decis</w:t>
      </w:r>
      <w:r w:rsidR="00CC2FF5" w:rsidRPr="00CC2FF5">
        <w:rPr>
          <w:rFonts w:cs="Arial"/>
          <w:color w:val="0C2340"/>
          <w:szCs w:val="20"/>
          <w:lang w:eastAsia="it-IT"/>
        </w:rPr>
        <w:t>ione ECB-SSM-2019-ITCAR-13</w:t>
      </w:r>
      <w:r w:rsidR="00CC2FF5" w:rsidRPr="00EA5966">
        <w:rPr>
          <w:rFonts w:cs="Arial"/>
          <w:color w:val="0C2340"/>
          <w:szCs w:val="20"/>
          <w:lang w:eastAsia="it-IT"/>
        </w:rPr>
        <w:t xml:space="preserve">, del 29 marzo 2019, </w:t>
      </w:r>
      <w:r w:rsidR="00CC2FF5" w:rsidRPr="00CC2FF5">
        <w:rPr>
          <w:rFonts w:cs="Arial"/>
          <w:color w:val="0C2340"/>
          <w:szCs w:val="20"/>
          <w:lang w:eastAsia="it-IT"/>
        </w:rPr>
        <w:t>con cui la BCE aveva</w:t>
      </w:r>
      <w:r w:rsidR="00CC2FF5" w:rsidRPr="00EA5966">
        <w:rPr>
          <w:rFonts w:cs="Arial"/>
          <w:color w:val="0C2340"/>
          <w:szCs w:val="20"/>
          <w:lang w:eastAsia="it-IT"/>
        </w:rPr>
        <w:t xml:space="preserve"> proroga</w:t>
      </w:r>
      <w:r w:rsidR="00CC2FF5" w:rsidRPr="00CC2FF5">
        <w:rPr>
          <w:rFonts w:cs="Arial"/>
          <w:color w:val="0C2340"/>
          <w:szCs w:val="20"/>
          <w:lang w:eastAsia="it-IT"/>
        </w:rPr>
        <w:t>to</w:t>
      </w:r>
      <w:r w:rsidR="00CC2FF5" w:rsidRPr="00EA5966">
        <w:rPr>
          <w:rFonts w:cs="Arial"/>
          <w:color w:val="0C2340"/>
          <w:szCs w:val="20"/>
          <w:lang w:eastAsia="it-IT"/>
        </w:rPr>
        <w:t xml:space="preserve"> </w:t>
      </w:r>
      <w:r w:rsidR="00CC2FF5" w:rsidRPr="00EA5966">
        <w:rPr>
          <w:rFonts w:cs="Arial"/>
          <w:color w:val="0C2340"/>
          <w:szCs w:val="20"/>
          <w:lang w:eastAsia="it-IT"/>
        </w:rPr>
        <w:t>fino al 30 settembre 2019 la durata dell’assoggettamento ad amministrazione straordinaria.</w:t>
      </w:r>
    </w:p>
    <w:p w14:paraId="41F67967" w14:textId="77777777" w:rsidR="00CC2FF5" w:rsidRPr="00CC2FF5" w:rsidRDefault="00CC2FF5" w:rsidP="00CC2FF5">
      <w:pPr>
        <w:spacing w:before="240" w:after="240"/>
        <w:rPr>
          <w:rFonts w:eastAsia="Times New Roman" w:cs="Arial"/>
          <w:color w:val="0C2340"/>
          <w:szCs w:val="20"/>
          <w:lang w:eastAsia="it-IT"/>
        </w:rPr>
      </w:pPr>
      <w:r w:rsidRPr="00CC2FF5">
        <w:rPr>
          <w:rFonts w:eastAsia="Times New Roman" w:cs="Arial"/>
          <w:color w:val="0C2340"/>
          <w:szCs w:val="20"/>
          <w:lang w:eastAsia="it-IT"/>
        </w:rPr>
        <w:t>Questi i fatti.</w:t>
      </w:r>
    </w:p>
    <w:p w14:paraId="279C3E09" w14:textId="77777777" w:rsidR="00CC2FF5" w:rsidRPr="00CC2FF5" w:rsidRDefault="00CC2FF5" w:rsidP="00CC2FF5">
      <w:pPr>
        <w:spacing w:before="240" w:after="240"/>
        <w:rPr>
          <w:rFonts w:cs="Arial"/>
          <w:color w:val="0C2340"/>
          <w:szCs w:val="20"/>
        </w:rPr>
      </w:pPr>
      <w:r w:rsidRPr="00CC2FF5">
        <w:rPr>
          <w:rFonts w:cs="Arial"/>
          <w:color w:val="0C2340"/>
          <w:szCs w:val="20"/>
        </w:rPr>
        <w:t xml:space="preserve">Nel 2016, la BCE aveva adottato una misura di intervento precoce riguardante la Carige, fissando alcuni obiettivi da raggiungere tra il 2017 e il 2019 per i crediti deteriorati e la relativa copertura. Per conseguire tali obiettivi, nel 2017 il consiglio di amministrazione della Carige aveva approvato un piano di rafforzamento patrimoniale volto a ripristinare una posizione patrimoniale adeguata, a coprire le perdite subite e, </w:t>
      </w:r>
      <w:r w:rsidRPr="00CC2FF5">
        <w:rPr>
          <w:rFonts w:cs="Arial"/>
          <w:color w:val="0C2340"/>
          <w:szCs w:val="20"/>
        </w:rPr>
        <w:lastRenderedPageBreak/>
        <w:t xml:space="preserve">nel complesso, a rafforzare la struttura patrimoniale al fine di ripristinare coefficienti patrimoniali accettabili. Malgrado l’emissione di titoli per un ammontare pari a circa 544 milioni di euro, tuttavia, al 1° gennaio 2018 la Carige risultava inosservante dei requisiti patrimoniali applicabili. Di conseguenza, la Carige aveva tentato infruttuosamente di aumentare il proprio capitale al fine di rispettare questi ultimi, ciò che aveva portato a diverse dimissioni all’interno del consiglio di amministrazione rendendo necessaria la nomina di nuovi membri. </w:t>
      </w:r>
    </w:p>
    <w:p w14:paraId="30049C0A" w14:textId="77777777" w:rsidR="00CC2FF5" w:rsidRPr="00CC2FF5" w:rsidRDefault="00CC2FF5" w:rsidP="00CC2FF5">
      <w:pPr>
        <w:spacing w:before="240" w:after="240"/>
        <w:rPr>
          <w:rFonts w:cs="Arial"/>
          <w:color w:val="0C2340"/>
          <w:szCs w:val="20"/>
        </w:rPr>
      </w:pPr>
      <w:r w:rsidRPr="00CC2FF5">
        <w:rPr>
          <w:rFonts w:cs="Arial"/>
          <w:color w:val="0C2340"/>
          <w:szCs w:val="20"/>
        </w:rPr>
        <w:t>Poiché, alla fine del settembre 2018, la Carige segnalava ancora coefficienti patrimoniali inferiori ai requisiti, la BCE le aveva chiesto di presentare un piano di conservazione conformemente alla Direttiva 2013/36/UE</w:t>
      </w:r>
      <w:r w:rsidRPr="00CC2FF5">
        <w:rPr>
          <w:rStyle w:val="Rimandonotaapidipagina"/>
          <w:rFonts w:cs="Arial"/>
          <w:color w:val="0C2340"/>
          <w:szCs w:val="20"/>
        </w:rPr>
        <w:footnoteReference w:id="2"/>
      </w:r>
      <w:r w:rsidRPr="00CC2FF5">
        <w:rPr>
          <w:rFonts w:cs="Arial"/>
          <w:color w:val="0C2340"/>
          <w:szCs w:val="20"/>
        </w:rPr>
        <w:t xml:space="preserve">. La BCE, tuttavia, aveva deciso di non approvare tale piano ritenendo che esso non contenesse modifiche sostanziali, e aveva chiesto alla Carige di presentare, al più tardi entro il 30 novembre 2018, una strategia volta a ripristinare e assicurare in modo sostenibile l’osservanza dei requisiti entro il 1° gennaio 2019. Per soddisfare tale richiesta, il consiglio di amministrazione della Carige aveva adottato il c.d. “piano di rafforzamento patrimoniale del novembre 2018” articolato in due fasi, delle quali era stata realizzata solo la prima in quanto vi era stata l’opposizione, da parte degli azionisti detentori del 70% del capitale, nei confronti di un aumento di capitale da effettuarsi mediante scambio di obbligazioni subordinate con azioni di nuova emissione. </w:t>
      </w:r>
    </w:p>
    <w:p w14:paraId="3BE2EB06" w14:textId="77777777" w:rsidR="00CC2FF5" w:rsidRPr="00CC2FF5" w:rsidRDefault="00CC2FF5" w:rsidP="00CC2FF5">
      <w:pPr>
        <w:spacing w:before="240" w:after="240"/>
        <w:rPr>
          <w:rFonts w:cs="Arial"/>
          <w:color w:val="0C2340"/>
          <w:szCs w:val="20"/>
        </w:rPr>
      </w:pPr>
      <w:r w:rsidRPr="00CC2FF5">
        <w:rPr>
          <w:rFonts w:cs="Arial"/>
          <w:color w:val="0C2340"/>
          <w:szCs w:val="20"/>
        </w:rPr>
        <w:t xml:space="preserve">A seguito delle dimissioni di quattro membri del consiglio di amministrazione, in data 1° gennaio 2019 la BCE aveva deciso di assoggettare la Carige ad </w:t>
      </w:r>
      <w:r w:rsidRPr="00CC2FF5">
        <w:rPr>
          <w:rFonts w:cs="Arial"/>
          <w:color w:val="0C2340"/>
          <w:szCs w:val="20"/>
        </w:rPr>
        <w:t xml:space="preserve">amministrazione straordinaria i) sciogliendo il consiglio di amministrazione della banca e sostituendo degli ex membri con tre commissari straordinari, ii) sciogliendo il collegio sindacale della banca e sostituendone gli ex membri con altre tre persone, e iii) assegnando ai nuovi organi il compito di dare corso alle azioni necessarie ad assicurare che la Carige tornasse a rispettare i requisiti patrimoniali in modo sostenibile. Successivamente, la BCE aveva prorogato la durata dell’assoggettamento ad amministrazione straordinaria prima fino al 30 settembre 2019, poi fino al 31 dicembre 2019 </w:t>
      </w:r>
      <w:proofErr w:type="gramStart"/>
      <w:r w:rsidRPr="00CC2FF5">
        <w:rPr>
          <w:rFonts w:cs="Arial"/>
          <w:color w:val="0C2340"/>
          <w:szCs w:val="20"/>
        </w:rPr>
        <w:t>ed</w:t>
      </w:r>
      <w:proofErr w:type="gramEnd"/>
      <w:r w:rsidRPr="00CC2FF5">
        <w:rPr>
          <w:rFonts w:cs="Arial"/>
          <w:color w:val="0C2340"/>
          <w:szCs w:val="20"/>
        </w:rPr>
        <w:t>, infine, fino al 31 gennaio 2020, al fine di consentire il perfezionamento dell’operazione di rafforzamento patrimoniale.</w:t>
      </w:r>
    </w:p>
    <w:p w14:paraId="0B5F1249" w14:textId="77777777" w:rsidR="00CC2FF5" w:rsidRPr="00CC2FF5" w:rsidRDefault="00CC2FF5" w:rsidP="00CC2FF5">
      <w:pPr>
        <w:spacing w:before="240" w:after="240"/>
        <w:rPr>
          <w:rFonts w:cs="Arial"/>
          <w:color w:val="0C2340"/>
          <w:szCs w:val="20"/>
        </w:rPr>
      </w:pPr>
      <w:r w:rsidRPr="00CC2FF5">
        <w:rPr>
          <w:rFonts w:cs="Arial"/>
          <w:color w:val="0C2340"/>
          <w:szCs w:val="20"/>
        </w:rPr>
        <w:t xml:space="preserve">Di conseguenza, la Carige si era rivolta al Tribunale deducendo </w:t>
      </w:r>
      <w:r w:rsidRPr="00CC2FF5">
        <w:rPr>
          <w:rFonts w:cs="Arial"/>
          <w:color w:val="0C2340"/>
          <w:szCs w:val="20"/>
          <w:u w:val="single"/>
        </w:rPr>
        <w:t>sette motivi di ricorso</w:t>
      </w:r>
      <w:r w:rsidRPr="00CC2FF5">
        <w:rPr>
          <w:rFonts w:cs="Arial"/>
          <w:color w:val="0C2340"/>
          <w:szCs w:val="20"/>
        </w:rPr>
        <w:t xml:space="preserve">, vertenti i) sulla violazione delle norme relative alla proporzionalità, ii) sulla violazione dell’obbligo di motivazione e del diritto di essere ascoltata, iii) sulla nomina a commissari straordinari di persone che avevano in precedenza esercitato importanti funzioni nella direzione e nell’amministrazione della banca, iv) sull’errore di diritto commesso nella determinazione della base giuridica utilizzata per l’adozione delle decisioni controverse, v) sul fatto che la BCE avrebbe tentato di risolvere problemi di amministrazione con la nomina di persone che avevano causato detti problemi, v) sulla violazione, da un lato, delle norme relative ai diritti dell’azionista e, dall’altro lato, dei principi fondamentali in materia di tutela della proprietà e del risparmio, di libertà dell’iniziativa economica privata e di autodeterminazione del cittadino nelle scelte personali, e vii) sull’inidoneità </w:t>
      </w:r>
      <w:r w:rsidRPr="00CC2FF5">
        <w:rPr>
          <w:rFonts w:cs="Arial"/>
          <w:color w:val="0C2340"/>
          <w:szCs w:val="20"/>
        </w:rPr>
        <w:lastRenderedPageBreak/>
        <w:t>dell’amministrazione straordinaria a porre rimedio al problema constatato.</w:t>
      </w:r>
    </w:p>
    <w:p w14:paraId="594D2A79" w14:textId="77777777" w:rsidR="00CC2FF5" w:rsidRPr="00CC2FF5" w:rsidRDefault="00CC2FF5" w:rsidP="00CC2FF5">
      <w:pPr>
        <w:spacing w:before="240" w:after="240"/>
        <w:rPr>
          <w:rFonts w:cs="Arial"/>
          <w:color w:val="0C2340"/>
          <w:szCs w:val="20"/>
        </w:rPr>
      </w:pPr>
      <w:r w:rsidRPr="00CC2FF5">
        <w:rPr>
          <w:rFonts w:cs="Arial"/>
          <w:color w:val="0C2340"/>
          <w:szCs w:val="20"/>
          <w:lang w:eastAsia="it-IT"/>
        </w:rPr>
        <w:t>In primo luogo, la Carige sost</w:t>
      </w:r>
      <w:r w:rsidRPr="00723DA3">
        <w:rPr>
          <w:rFonts w:cs="Arial"/>
          <w:color w:val="0C2340"/>
          <w:szCs w:val="20"/>
          <w:lang w:eastAsia="it-IT"/>
        </w:rPr>
        <w:t>ene</w:t>
      </w:r>
      <w:r w:rsidRPr="00CC2FF5">
        <w:rPr>
          <w:rFonts w:cs="Arial"/>
          <w:color w:val="0C2340"/>
          <w:szCs w:val="20"/>
          <w:lang w:eastAsia="it-IT"/>
        </w:rPr>
        <w:t>va</w:t>
      </w:r>
      <w:r w:rsidRPr="00723DA3">
        <w:rPr>
          <w:rFonts w:cs="Arial"/>
          <w:color w:val="0C2340"/>
          <w:szCs w:val="20"/>
          <w:lang w:eastAsia="it-IT"/>
        </w:rPr>
        <w:t xml:space="preserve"> che la BCE avrebbe commesso un errore di diritto nel fondare le decisioni controverse sull’articolo 70, comma 1, del</w:t>
      </w:r>
      <w:r w:rsidRPr="00CC2FF5">
        <w:rPr>
          <w:rFonts w:cs="Arial"/>
          <w:color w:val="0C2340"/>
          <w:szCs w:val="20"/>
          <w:lang w:eastAsia="it-IT"/>
        </w:rPr>
        <w:t xml:space="preserve"> c.d.</w:t>
      </w:r>
      <w:r w:rsidRPr="00723DA3">
        <w:rPr>
          <w:rFonts w:cs="Arial"/>
          <w:color w:val="0C2340"/>
          <w:szCs w:val="20"/>
          <w:lang w:eastAsia="it-IT"/>
        </w:rPr>
        <w:t xml:space="preserve"> </w:t>
      </w:r>
      <w:r w:rsidRPr="00CC2FF5">
        <w:rPr>
          <w:rFonts w:cs="Arial"/>
          <w:color w:val="0C2340"/>
          <w:szCs w:val="20"/>
          <w:lang w:eastAsia="it-IT"/>
        </w:rPr>
        <w:t>“</w:t>
      </w:r>
      <w:r w:rsidRPr="00723DA3">
        <w:rPr>
          <w:rFonts w:cs="Arial"/>
          <w:color w:val="0C2340"/>
          <w:szCs w:val="20"/>
          <w:lang w:eastAsia="it-IT"/>
        </w:rPr>
        <w:t>testo unico bancario</w:t>
      </w:r>
      <w:r w:rsidRPr="00CC2FF5">
        <w:rPr>
          <w:rFonts w:cs="Arial"/>
          <w:color w:val="0C2340"/>
          <w:szCs w:val="20"/>
          <w:lang w:eastAsia="it-IT"/>
        </w:rPr>
        <w:t>”</w:t>
      </w:r>
      <w:r w:rsidRPr="00CC2FF5">
        <w:rPr>
          <w:rStyle w:val="Rimandonotaapidipagina"/>
          <w:rFonts w:cs="Arial"/>
          <w:color w:val="0C2340"/>
          <w:szCs w:val="20"/>
          <w:lang w:eastAsia="it-IT"/>
        </w:rPr>
        <w:footnoteReference w:id="3"/>
      </w:r>
      <w:r w:rsidRPr="00CC2FF5">
        <w:rPr>
          <w:rFonts w:cs="Arial"/>
          <w:color w:val="0C2340"/>
          <w:szCs w:val="20"/>
          <w:lang w:eastAsia="it-IT"/>
        </w:rPr>
        <w:t xml:space="preserve">, </w:t>
      </w:r>
      <w:r w:rsidRPr="00723DA3">
        <w:rPr>
          <w:rFonts w:cs="Arial"/>
          <w:color w:val="0C2340"/>
          <w:szCs w:val="20"/>
          <w:lang w:eastAsia="it-IT"/>
        </w:rPr>
        <w:t>che recepisce l’articolo 29 della</w:t>
      </w:r>
      <w:r w:rsidRPr="00CC2FF5">
        <w:rPr>
          <w:rFonts w:cs="Arial"/>
          <w:color w:val="0C2340"/>
          <w:szCs w:val="20"/>
          <w:lang w:eastAsia="it-IT"/>
        </w:rPr>
        <w:t xml:space="preserve"> D</w:t>
      </w:r>
      <w:r w:rsidRPr="00723DA3">
        <w:rPr>
          <w:rFonts w:cs="Arial"/>
          <w:color w:val="0C2340"/>
          <w:szCs w:val="20"/>
          <w:lang w:eastAsia="it-IT"/>
        </w:rPr>
        <w:t>irettiva 2014/59/UE</w:t>
      </w:r>
      <w:r w:rsidRPr="00CC2FF5">
        <w:rPr>
          <w:rStyle w:val="Rimandonotaapidipagina"/>
          <w:rFonts w:cs="Arial"/>
          <w:color w:val="0C2340"/>
          <w:szCs w:val="20"/>
          <w:lang w:eastAsia="it-IT"/>
        </w:rPr>
        <w:footnoteReference w:id="4"/>
      </w:r>
      <w:r w:rsidRPr="00CC2FF5">
        <w:rPr>
          <w:rFonts w:cs="Arial"/>
          <w:color w:val="0C2340"/>
          <w:szCs w:val="20"/>
          <w:lang w:eastAsia="it-IT"/>
        </w:rPr>
        <w:t xml:space="preserve">, in quanto </w:t>
      </w:r>
      <w:r w:rsidRPr="00723DA3">
        <w:rPr>
          <w:rFonts w:cs="Arial"/>
          <w:color w:val="0C2340"/>
          <w:szCs w:val="20"/>
          <w:lang w:eastAsia="it-IT"/>
        </w:rPr>
        <w:t xml:space="preserve">tale disposizione non contemplerebbe la situazione addotta per giustificare l’assoggettamento ad amministrazione </w:t>
      </w:r>
      <w:r w:rsidRPr="00723DA3">
        <w:rPr>
          <w:rFonts w:cs="Arial"/>
          <w:color w:val="0C2340"/>
          <w:szCs w:val="20"/>
          <w:lang w:eastAsia="it-IT"/>
        </w:rPr>
        <w:t xml:space="preserve">straordinaria, </w:t>
      </w:r>
      <w:r w:rsidRPr="00CC2FF5">
        <w:rPr>
          <w:rFonts w:cs="Arial"/>
          <w:color w:val="0C2340"/>
          <w:szCs w:val="20"/>
          <w:lang w:eastAsia="it-IT"/>
        </w:rPr>
        <w:t xml:space="preserve">ossia un </w:t>
      </w:r>
      <w:r w:rsidRPr="00723DA3">
        <w:rPr>
          <w:rFonts w:cs="Arial"/>
          <w:color w:val="0C2340"/>
          <w:szCs w:val="20"/>
          <w:lang w:eastAsia="it-IT"/>
        </w:rPr>
        <w:t>deterioramento signi</w:t>
      </w:r>
      <w:r w:rsidRPr="00CC2FF5">
        <w:rPr>
          <w:rFonts w:cs="Arial"/>
          <w:color w:val="0C2340"/>
          <w:szCs w:val="20"/>
          <w:lang w:eastAsia="it-IT"/>
        </w:rPr>
        <w:t>ficativo</w:t>
      </w:r>
      <w:r w:rsidRPr="00723DA3">
        <w:rPr>
          <w:rFonts w:cs="Arial"/>
          <w:color w:val="0C2340"/>
          <w:szCs w:val="20"/>
          <w:lang w:eastAsia="it-IT"/>
        </w:rPr>
        <w:t>.</w:t>
      </w:r>
      <w:r w:rsidRPr="00CC2FF5">
        <w:rPr>
          <w:rFonts w:cs="Arial"/>
          <w:color w:val="0C2340"/>
          <w:szCs w:val="20"/>
          <w:lang w:eastAsia="it-IT"/>
        </w:rPr>
        <w:t> </w:t>
      </w:r>
    </w:p>
    <w:p w14:paraId="00634764" w14:textId="77777777" w:rsidR="00CC2FF5" w:rsidRPr="00CC2FF5" w:rsidRDefault="00CC2FF5" w:rsidP="00CC2FF5">
      <w:pPr>
        <w:spacing w:before="240" w:after="240"/>
        <w:rPr>
          <w:rFonts w:cs="Arial"/>
          <w:color w:val="0C2340"/>
          <w:szCs w:val="20"/>
        </w:rPr>
      </w:pPr>
      <w:r w:rsidRPr="00CC2FF5">
        <w:rPr>
          <w:rFonts w:cs="Arial"/>
          <w:color w:val="0C2340"/>
          <w:szCs w:val="20"/>
          <w:lang w:eastAsia="it-IT"/>
        </w:rPr>
        <w:t>Il Tribunale ha preliminarmente rilevato che d</w:t>
      </w:r>
      <w:r w:rsidRPr="00723DA3">
        <w:rPr>
          <w:rFonts w:cs="Arial"/>
          <w:color w:val="0C2340"/>
          <w:szCs w:val="20"/>
          <w:lang w:eastAsia="it-IT"/>
        </w:rPr>
        <w:t xml:space="preserve">al tenore </w:t>
      </w:r>
      <w:r w:rsidRPr="00CC2FF5">
        <w:rPr>
          <w:rFonts w:cs="Arial"/>
          <w:color w:val="0C2340"/>
          <w:szCs w:val="20"/>
          <w:lang w:eastAsia="it-IT"/>
        </w:rPr>
        <w:t>del</w:t>
      </w:r>
      <w:r w:rsidRPr="00723DA3">
        <w:rPr>
          <w:rFonts w:cs="Arial"/>
          <w:color w:val="0C2340"/>
          <w:szCs w:val="20"/>
          <w:lang w:eastAsia="it-IT"/>
        </w:rPr>
        <w:t>l’articolo 69 octiesdecies, comma 1, lettera b)</w:t>
      </w:r>
      <w:r w:rsidRPr="00CC2FF5">
        <w:rPr>
          <w:rStyle w:val="Rimandonotaapidipagina"/>
          <w:rFonts w:cs="Arial"/>
          <w:color w:val="0C2340"/>
          <w:szCs w:val="20"/>
          <w:lang w:eastAsia="it-IT"/>
        </w:rPr>
        <w:footnoteReference w:id="5"/>
      </w:r>
      <w:r w:rsidRPr="00723DA3">
        <w:rPr>
          <w:rFonts w:cs="Arial"/>
          <w:color w:val="0C2340"/>
          <w:szCs w:val="20"/>
          <w:lang w:eastAsia="it-IT"/>
        </w:rPr>
        <w:t>, del testo unico bancario, che</w:t>
      </w:r>
      <w:r w:rsidRPr="00CC2FF5">
        <w:rPr>
          <w:rFonts w:cs="Arial"/>
          <w:color w:val="0C2340"/>
          <w:szCs w:val="20"/>
          <w:lang w:eastAsia="it-IT"/>
        </w:rPr>
        <w:t xml:space="preserve"> a sua volta</w:t>
      </w:r>
      <w:r w:rsidRPr="00723DA3">
        <w:rPr>
          <w:rFonts w:cs="Arial"/>
          <w:color w:val="0C2340"/>
          <w:szCs w:val="20"/>
          <w:lang w:eastAsia="it-IT"/>
        </w:rPr>
        <w:t xml:space="preserve"> recepisce l’a</w:t>
      </w:r>
      <w:r w:rsidRPr="00CC2FF5">
        <w:rPr>
          <w:rFonts w:cs="Arial"/>
          <w:color w:val="0C2340"/>
          <w:szCs w:val="20"/>
          <w:lang w:eastAsia="it-IT"/>
        </w:rPr>
        <w:t>rticolo 28</w:t>
      </w:r>
      <w:r w:rsidRPr="00CC2FF5">
        <w:rPr>
          <w:rStyle w:val="Rimandonotaapidipagina"/>
          <w:rFonts w:cs="Arial"/>
          <w:color w:val="0C2340"/>
          <w:szCs w:val="20"/>
          <w:lang w:eastAsia="it-IT"/>
        </w:rPr>
        <w:footnoteReference w:id="6"/>
      </w:r>
      <w:r w:rsidRPr="00723DA3">
        <w:rPr>
          <w:rFonts w:cs="Arial"/>
          <w:color w:val="0C2340"/>
          <w:szCs w:val="20"/>
          <w:lang w:eastAsia="it-IT"/>
        </w:rPr>
        <w:t xml:space="preserve"> </w:t>
      </w:r>
      <w:r w:rsidRPr="00CC2FF5">
        <w:rPr>
          <w:rFonts w:cs="Arial"/>
          <w:color w:val="0C2340"/>
          <w:szCs w:val="20"/>
          <w:lang w:eastAsia="it-IT"/>
        </w:rPr>
        <w:t>della D</w:t>
      </w:r>
      <w:r w:rsidRPr="00723DA3">
        <w:rPr>
          <w:rFonts w:cs="Arial"/>
          <w:color w:val="0C2340"/>
          <w:szCs w:val="20"/>
          <w:lang w:eastAsia="it-IT"/>
        </w:rPr>
        <w:t>irettiva 2014/59/UE</w:t>
      </w:r>
      <w:r w:rsidRPr="00CC2FF5">
        <w:rPr>
          <w:rFonts w:cs="Arial"/>
          <w:color w:val="0C2340"/>
          <w:szCs w:val="20"/>
          <w:lang w:eastAsia="it-IT"/>
        </w:rPr>
        <w:t>, e dell’articolo 70</w:t>
      </w:r>
      <w:r w:rsidRPr="00723DA3">
        <w:rPr>
          <w:rFonts w:cs="Arial"/>
          <w:color w:val="0C2340"/>
          <w:szCs w:val="20"/>
          <w:lang w:eastAsia="it-IT"/>
        </w:rPr>
        <w:t xml:space="preserve"> risulta che le due disposizioni </w:t>
      </w:r>
      <w:r w:rsidRPr="00CC2FF5">
        <w:rPr>
          <w:rFonts w:cs="Arial"/>
          <w:color w:val="0C2340"/>
          <w:szCs w:val="20"/>
          <w:lang w:eastAsia="it-IT"/>
        </w:rPr>
        <w:t>riguardano due ipotesi distinte.</w:t>
      </w:r>
      <w:r w:rsidRPr="00CC2FF5">
        <w:rPr>
          <w:rFonts w:cs="Arial"/>
          <w:color w:val="0C2340"/>
          <w:szCs w:val="20"/>
        </w:rPr>
        <w:t xml:space="preserve"> Mentre, infatti, il primo articolo </w:t>
      </w:r>
      <w:r w:rsidRPr="00CC2FF5">
        <w:rPr>
          <w:rFonts w:cs="Arial"/>
          <w:color w:val="0C2340"/>
          <w:szCs w:val="20"/>
          <w:lang w:eastAsia="it-IT"/>
        </w:rPr>
        <w:t>regola la rimozione</w:t>
      </w:r>
      <w:r w:rsidRPr="00723DA3">
        <w:rPr>
          <w:rFonts w:cs="Arial"/>
          <w:color w:val="0C2340"/>
          <w:szCs w:val="20"/>
          <w:lang w:eastAsia="it-IT"/>
        </w:rPr>
        <w:t xml:space="preserve"> degli organi amministrativi o di controllo delle banche i quali, una volta adottato tale provvedimento, devono essere sostituiti </w:t>
      </w:r>
      <w:r w:rsidRPr="00723DA3">
        <w:rPr>
          <w:rFonts w:cs="Arial"/>
          <w:color w:val="0C2340"/>
          <w:szCs w:val="20"/>
          <w:lang w:eastAsia="it-IT"/>
        </w:rPr>
        <w:lastRenderedPageBreak/>
        <w:t xml:space="preserve">secondo le procedure previste dal diritto nazionale e </w:t>
      </w:r>
      <w:r w:rsidRPr="00CC2FF5">
        <w:rPr>
          <w:rFonts w:cs="Arial"/>
          <w:color w:val="0C2340"/>
          <w:szCs w:val="20"/>
          <w:lang w:eastAsia="it-IT"/>
        </w:rPr>
        <w:t>da quello</w:t>
      </w:r>
      <w:r w:rsidRPr="00723DA3">
        <w:rPr>
          <w:rFonts w:cs="Arial"/>
          <w:color w:val="0C2340"/>
          <w:szCs w:val="20"/>
          <w:lang w:eastAsia="it-IT"/>
        </w:rPr>
        <w:t xml:space="preserve"> dell’Unione</w:t>
      </w:r>
      <w:r w:rsidRPr="00CC2FF5">
        <w:rPr>
          <w:rFonts w:cs="Arial"/>
          <w:color w:val="0C2340"/>
          <w:szCs w:val="20"/>
          <w:lang w:eastAsia="it-IT"/>
        </w:rPr>
        <w:t>, il secondo</w:t>
      </w:r>
      <w:r w:rsidRPr="00CC2FF5">
        <w:rPr>
          <w:rFonts w:cs="Arial"/>
          <w:color w:val="0C2340"/>
          <w:szCs w:val="20"/>
        </w:rPr>
        <w:t xml:space="preserve"> </w:t>
      </w:r>
      <w:r w:rsidRPr="00CC2FF5">
        <w:rPr>
          <w:rFonts w:cs="Arial"/>
          <w:color w:val="0C2340"/>
          <w:szCs w:val="20"/>
          <w:lang w:eastAsia="it-IT"/>
        </w:rPr>
        <w:t>disciplina lo scioglimento</w:t>
      </w:r>
      <w:r w:rsidRPr="00723DA3">
        <w:rPr>
          <w:rFonts w:cs="Arial"/>
          <w:color w:val="0C2340"/>
          <w:szCs w:val="20"/>
          <w:lang w:eastAsia="it-IT"/>
        </w:rPr>
        <w:t xml:space="preserve"> </w:t>
      </w:r>
      <w:r w:rsidRPr="00CC2FF5">
        <w:rPr>
          <w:rFonts w:cs="Arial"/>
          <w:color w:val="0C2340"/>
          <w:szCs w:val="20"/>
          <w:lang w:eastAsia="it-IT"/>
        </w:rPr>
        <w:t>di tali organi</w:t>
      </w:r>
      <w:r w:rsidRPr="00723DA3">
        <w:rPr>
          <w:rFonts w:cs="Arial"/>
          <w:color w:val="0C2340"/>
          <w:szCs w:val="20"/>
          <w:lang w:eastAsia="it-IT"/>
        </w:rPr>
        <w:t xml:space="preserve">, che comporta la sospensione delle funzioni delle assemblee e degli altri organi </w:t>
      </w:r>
      <w:r w:rsidRPr="00CC2FF5">
        <w:rPr>
          <w:rFonts w:cs="Arial"/>
          <w:color w:val="0C2340"/>
          <w:szCs w:val="20"/>
          <w:lang w:eastAsia="it-IT"/>
        </w:rPr>
        <w:t>nonché</w:t>
      </w:r>
      <w:r w:rsidRPr="00723DA3">
        <w:rPr>
          <w:rFonts w:cs="Arial"/>
          <w:color w:val="0C2340"/>
          <w:szCs w:val="20"/>
          <w:lang w:eastAsia="it-IT"/>
        </w:rPr>
        <w:t xml:space="preserve"> l’instaurazione dell’amministrazione straordinaria.</w:t>
      </w:r>
      <w:r w:rsidRPr="00CC2FF5">
        <w:rPr>
          <w:rFonts w:cs="Arial"/>
          <w:color w:val="0C2340"/>
          <w:szCs w:val="20"/>
          <w:lang w:eastAsia="it-IT"/>
        </w:rPr>
        <w:t xml:space="preserve"> Di conseguenza,</w:t>
      </w:r>
      <w:r w:rsidRPr="00CC2FF5">
        <w:rPr>
          <w:rFonts w:cs="Arial"/>
          <w:color w:val="0C2340"/>
          <w:szCs w:val="20"/>
        </w:rPr>
        <w:t xml:space="preserve"> </w:t>
      </w:r>
      <w:r w:rsidRPr="00723DA3">
        <w:rPr>
          <w:rFonts w:cs="Arial"/>
          <w:color w:val="0C2340"/>
          <w:szCs w:val="20"/>
          <w:lang w:eastAsia="it-IT"/>
        </w:rPr>
        <w:t>le misure in questione non possono essere considerate equivalenti o alternative, dal momento che la prima è meno invasiva della seconda, la quale può essere adottata soltanto qualora la sostituzione degli organi amministrativi o di controllo delle banche secondo le procedure di diritto nazionale e di diritto dell’Unione non sia ritenuta sufficiente dall’autorità competente per porre rimedio alla situazione.</w:t>
      </w:r>
    </w:p>
    <w:p w14:paraId="7BB67C39" w14:textId="77777777" w:rsidR="00CC2FF5" w:rsidRPr="00CC2FF5" w:rsidRDefault="00CC2FF5" w:rsidP="00CC2FF5">
      <w:pPr>
        <w:spacing w:before="240" w:after="240"/>
        <w:rPr>
          <w:rFonts w:cs="Arial"/>
          <w:color w:val="0C2340"/>
          <w:szCs w:val="20"/>
        </w:rPr>
      </w:pPr>
      <w:r w:rsidRPr="00CC2FF5">
        <w:rPr>
          <w:rFonts w:cs="Arial"/>
          <w:color w:val="0C2340"/>
          <w:szCs w:val="20"/>
          <w:lang w:eastAsia="it-IT"/>
        </w:rPr>
        <w:t>Ciò trova conferma anche nel fatto che le</w:t>
      </w:r>
      <w:r w:rsidRPr="00CC2FF5">
        <w:rPr>
          <w:rFonts w:cs="Arial"/>
          <w:color w:val="0C2340"/>
          <w:szCs w:val="20"/>
        </w:rPr>
        <w:t xml:space="preserve"> </w:t>
      </w:r>
      <w:r w:rsidRPr="00723DA3">
        <w:rPr>
          <w:rFonts w:cs="Arial"/>
          <w:color w:val="0C2340"/>
          <w:szCs w:val="20"/>
          <w:lang w:eastAsia="it-IT"/>
        </w:rPr>
        <w:t>condizioni</w:t>
      </w:r>
      <w:r w:rsidRPr="00CC2FF5">
        <w:rPr>
          <w:rFonts w:cs="Arial"/>
          <w:color w:val="0C2340"/>
          <w:szCs w:val="20"/>
          <w:lang w:eastAsia="it-IT"/>
        </w:rPr>
        <w:t xml:space="preserve"> stesse</w:t>
      </w:r>
      <w:r w:rsidRPr="00723DA3">
        <w:rPr>
          <w:rFonts w:cs="Arial"/>
          <w:color w:val="0C2340"/>
          <w:szCs w:val="20"/>
          <w:lang w:eastAsia="it-IT"/>
        </w:rPr>
        <w:t xml:space="preserve"> per l’applicazione dell’articolo 69 octiesdecies, comma 1, lettera b), e dell’articolo 70 del testo unico bancario </w:t>
      </w:r>
      <w:r w:rsidRPr="00CC2FF5">
        <w:rPr>
          <w:rFonts w:cs="Arial"/>
          <w:color w:val="0C2340"/>
          <w:szCs w:val="20"/>
          <w:lang w:eastAsia="it-IT"/>
        </w:rPr>
        <w:t>sono</w:t>
      </w:r>
      <w:r w:rsidRPr="00723DA3">
        <w:rPr>
          <w:rFonts w:cs="Arial"/>
          <w:color w:val="0C2340"/>
          <w:szCs w:val="20"/>
          <w:lang w:eastAsia="it-IT"/>
        </w:rPr>
        <w:t xml:space="preserve"> distinte. </w:t>
      </w:r>
      <w:r w:rsidRPr="00CC2FF5">
        <w:rPr>
          <w:rFonts w:cs="Arial"/>
          <w:color w:val="0C2340"/>
          <w:szCs w:val="20"/>
          <w:lang w:eastAsia="it-IT"/>
        </w:rPr>
        <w:t xml:space="preserve">Più particolarmente, </w:t>
      </w:r>
      <w:r w:rsidRPr="00723DA3">
        <w:rPr>
          <w:rFonts w:cs="Arial"/>
          <w:color w:val="0C2340"/>
          <w:szCs w:val="20"/>
          <w:lang w:eastAsia="it-IT"/>
        </w:rPr>
        <w:t xml:space="preserve">l’articolo 70 prevede che lo scioglimento degli organi amministrativi o di controllo delle banche e l’instaurazione dell’amministrazione straordinaria siano possibili in quattro ipotesi, due delle quali sono previste </w:t>
      </w:r>
      <w:r w:rsidRPr="00CC2FF5">
        <w:rPr>
          <w:rFonts w:cs="Arial"/>
          <w:color w:val="0C2340"/>
          <w:szCs w:val="20"/>
          <w:lang w:eastAsia="it-IT"/>
        </w:rPr>
        <w:t>da</w:t>
      </w:r>
      <w:r w:rsidRPr="00723DA3">
        <w:rPr>
          <w:rFonts w:cs="Arial"/>
          <w:color w:val="0C2340"/>
          <w:szCs w:val="20"/>
          <w:lang w:eastAsia="it-IT"/>
        </w:rPr>
        <w:t>ll’articolo 69 octiesdecies</w:t>
      </w:r>
      <w:r w:rsidRPr="00CC2FF5">
        <w:rPr>
          <w:rFonts w:cs="Arial"/>
          <w:color w:val="0C2340"/>
          <w:szCs w:val="20"/>
          <w:lang w:eastAsia="it-IT"/>
        </w:rPr>
        <w:t xml:space="preserve"> e devono </w:t>
      </w:r>
      <w:r w:rsidRPr="00723DA3">
        <w:rPr>
          <w:rFonts w:cs="Arial"/>
          <w:color w:val="0C2340"/>
          <w:szCs w:val="20"/>
          <w:lang w:eastAsia="it-IT"/>
        </w:rPr>
        <w:t>essere interpretate nello stesso senso intes</w:t>
      </w:r>
      <w:r w:rsidRPr="00CC2FF5">
        <w:rPr>
          <w:rFonts w:cs="Arial"/>
          <w:color w:val="0C2340"/>
          <w:szCs w:val="20"/>
          <w:lang w:eastAsia="it-IT"/>
        </w:rPr>
        <w:t>o nel contesto della rimozione</w:t>
      </w:r>
      <w:r w:rsidRPr="00723DA3">
        <w:rPr>
          <w:rFonts w:cs="Arial"/>
          <w:color w:val="0C2340"/>
          <w:szCs w:val="20"/>
          <w:lang w:eastAsia="it-IT"/>
        </w:rPr>
        <w:t xml:space="preserve">. </w:t>
      </w:r>
      <w:r w:rsidRPr="00CC2FF5">
        <w:rPr>
          <w:rFonts w:cs="Arial"/>
          <w:color w:val="0C2340"/>
          <w:szCs w:val="20"/>
          <w:lang w:eastAsia="it-IT"/>
        </w:rPr>
        <w:t xml:space="preserve">Di conseguenza, </w:t>
      </w:r>
      <w:r w:rsidRPr="00723DA3">
        <w:rPr>
          <w:rFonts w:cs="Arial"/>
          <w:color w:val="0C2340"/>
          <w:szCs w:val="20"/>
          <w:lang w:eastAsia="it-IT"/>
        </w:rPr>
        <w:t xml:space="preserve">l’articolo 70 del testo unico bancario non prevede lo scioglimento degli organi amministrativi o di controllo delle banche, e l’instaurazione dell’amministrazione </w:t>
      </w:r>
      <w:r w:rsidRPr="00CC2FF5">
        <w:rPr>
          <w:rFonts w:cs="Arial"/>
          <w:color w:val="0C2340"/>
          <w:szCs w:val="20"/>
          <w:lang w:eastAsia="it-IT"/>
        </w:rPr>
        <w:t xml:space="preserve">straordinaria, nel caso in cui </w:t>
      </w:r>
      <w:r w:rsidRPr="00723DA3">
        <w:rPr>
          <w:rFonts w:cs="Arial"/>
          <w:color w:val="0C2340"/>
          <w:szCs w:val="20"/>
          <w:lang w:eastAsia="it-IT"/>
        </w:rPr>
        <w:t xml:space="preserve">il deterioramento della </w:t>
      </w:r>
      <w:r w:rsidRPr="00723DA3">
        <w:rPr>
          <w:rFonts w:cs="Arial"/>
          <w:color w:val="0C2340"/>
          <w:szCs w:val="20"/>
          <w:lang w:eastAsia="it-IT"/>
        </w:rPr>
        <w:t>situazione della banca o del gruppo bancario si</w:t>
      </w:r>
      <w:r w:rsidRPr="00CC2FF5">
        <w:rPr>
          <w:rFonts w:cs="Arial"/>
          <w:color w:val="0C2340"/>
          <w:szCs w:val="20"/>
          <w:lang w:eastAsia="it-IT"/>
        </w:rPr>
        <w:t>a particolarmente significativo</w:t>
      </w:r>
      <w:r w:rsidRPr="00723DA3">
        <w:rPr>
          <w:rFonts w:cs="Arial"/>
          <w:color w:val="0C2340"/>
          <w:szCs w:val="20"/>
          <w:lang w:eastAsia="it-IT"/>
        </w:rPr>
        <w:t>.</w:t>
      </w:r>
    </w:p>
    <w:p w14:paraId="22C8A00E" w14:textId="77777777" w:rsidR="00CC2FF5" w:rsidRPr="00CC2FF5" w:rsidRDefault="00CC2FF5" w:rsidP="00CC2FF5">
      <w:pPr>
        <w:spacing w:before="240" w:after="240"/>
        <w:rPr>
          <w:rFonts w:cs="Arial"/>
          <w:color w:val="0C2340"/>
          <w:szCs w:val="20"/>
        </w:rPr>
      </w:pPr>
      <w:r w:rsidRPr="00CC2FF5">
        <w:rPr>
          <w:rFonts w:cs="Arial"/>
          <w:color w:val="0C2340"/>
          <w:szCs w:val="20"/>
          <w:lang w:eastAsia="it-IT"/>
        </w:rPr>
        <w:t>Nel caso concreto, la BCE aveva</w:t>
      </w:r>
      <w:r w:rsidRPr="00723DA3">
        <w:rPr>
          <w:rFonts w:cs="Arial"/>
          <w:color w:val="0C2340"/>
          <w:szCs w:val="20"/>
          <w:lang w:eastAsia="it-IT"/>
        </w:rPr>
        <w:t xml:space="preserve"> esercitato il potere di cui all’articolo 70 del testo unico bancario per assoggettare la banca ad amministrazion</w:t>
      </w:r>
      <w:r w:rsidRPr="00CC2FF5">
        <w:rPr>
          <w:rFonts w:cs="Arial"/>
          <w:color w:val="0C2340"/>
          <w:szCs w:val="20"/>
          <w:lang w:eastAsia="it-IT"/>
        </w:rPr>
        <w:t xml:space="preserve">e straordinaria, constatazione </w:t>
      </w:r>
      <w:r w:rsidRPr="00723DA3">
        <w:rPr>
          <w:rFonts w:cs="Arial"/>
          <w:color w:val="0C2340"/>
          <w:szCs w:val="20"/>
          <w:lang w:eastAsia="it-IT"/>
        </w:rPr>
        <w:t xml:space="preserve">che il richiamo all’articolo 69 octiesdecies di </w:t>
      </w:r>
      <w:r w:rsidRPr="00CC2FF5">
        <w:rPr>
          <w:rFonts w:cs="Arial"/>
          <w:color w:val="0C2340"/>
          <w:szCs w:val="20"/>
          <w:lang w:eastAsia="it-IT"/>
        </w:rPr>
        <w:t>tale</w:t>
      </w:r>
      <w:r w:rsidRPr="00723DA3">
        <w:rPr>
          <w:rFonts w:cs="Arial"/>
          <w:color w:val="0C2340"/>
          <w:szCs w:val="20"/>
          <w:lang w:eastAsia="it-IT"/>
        </w:rPr>
        <w:t xml:space="preserve"> testo unico non consente di smentire.</w:t>
      </w:r>
      <w:r w:rsidRPr="00CC2FF5">
        <w:rPr>
          <w:rFonts w:cs="Arial"/>
          <w:color w:val="0C2340"/>
          <w:szCs w:val="20"/>
          <w:lang w:eastAsia="it-IT"/>
        </w:rPr>
        <w:t xml:space="preserve"> Del pari, la BCE aveva </w:t>
      </w:r>
      <w:r w:rsidRPr="00723DA3">
        <w:rPr>
          <w:rFonts w:cs="Arial"/>
          <w:color w:val="0C2340"/>
          <w:szCs w:val="20"/>
          <w:lang w:eastAsia="it-IT"/>
        </w:rPr>
        <w:t>ritenuto che l’amministrazione straordinaria dovesse proseguire, adducendo la mot</w:t>
      </w:r>
      <w:r w:rsidRPr="00CC2FF5">
        <w:rPr>
          <w:rFonts w:cs="Arial"/>
          <w:color w:val="0C2340"/>
          <w:szCs w:val="20"/>
          <w:lang w:eastAsia="it-IT"/>
        </w:rPr>
        <w:t xml:space="preserve">ivazione della persistenza del </w:t>
      </w:r>
      <w:r w:rsidRPr="00723DA3">
        <w:rPr>
          <w:rFonts w:cs="Arial"/>
          <w:color w:val="0C2340"/>
          <w:szCs w:val="20"/>
          <w:lang w:eastAsia="it-IT"/>
        </w:rPr>
        <w:t>significativo deter</w:t>
      </w:r>
      <w:r w:rsidRPr="00CC2FF5">
        <w:rPr>
          <w:rFonts w:cs="Arial"/>
          <w:color w:val="0C2340"/>
          <w:szCs w:val="20"/>
          <w:lang w:eastAsia="it-IT"/>
        </w:rPr>
        <w:t xml:space="preserve">ioramento della situazione del soggetto vigilato e che </w:t>
      </w:r>
      <w:r w:rsidRPr="00723DA3">
        <w:rPr>
          <w:rFonts w:cs="Arial"/>
          <w:color w:val="0C2340"/>
          <w:szCs w:val="20"/>
          <w:lang w:eastAsia="it-IT"/>
        </w:rPr>
        <w:t>l’esercizio del po</w:t>
      </w:r>
      <w:r w:rsidRPr="00CC2FF5">
        <w:rPr>
          <w:rFonts w:cs="Arial"/>
          <w:color w:val="0C2340"/>
          <w:szCs w:val="20"/>
          <w:lang w:eastAsia="it-IT"/>
        </w:rPr>
        <w:t>tere ai sensi dell’articolo 70 del testo unico bancario</w:t>
      </w:r>
      <w:r w:rsidRPr="00723DA3">
        <w:rPr>
          <w:rFonts w:cs="Arial"/>
          <w:color w:val="0C2340"/>
          <w:szCs w:val="20"/>
          <w:lang w:eastAsia="it-IT"/>
        </w:rPr>
        <w:t xml:space="preserve"> foss</w:t>
      </w:r>
      <w:r w:rsidRPr="00CC2FF5">
        <w:rPr>
          <w:rFonts w:cs="Arial"/>
          <w:color w:val="0C2340"/>
          <w:szCs w:val="20"/>
          <w:lang w:eastAsia="it-IT"/>
        </w:rPr>
        <w:t xml:space="preserve">e appropriato alle circostanze. Di conseguenza, secondo il Tribunale </w:t>
      </w:r>
      <w:r w:rsidRPr="00723DA3">
        <w:rPr>
          <w:rFonts w:cs="Arial"/>
          <w:color w:val="0C2340"/>
          <w:szCs w:val="20"/>
          <w:lang w:eastAsia="it-IT"/>
        </w:rPr>
        <w:t>la BCE ha violato l’articolo 70 del testo</w:t>
      </w:r>
      <w:r w:rsidRPr="00CC2FF5">
        <w:rPr>
          <w:rFonts w:cs="Arial"/>
          <w:color w:val="0C2340"/>
          <w:szCs w:val="20"/>
          <w:lang w:eastAsia="it-IT"/>
        </w:rPr>
        <w:t xml:space="preserve"> unico bancario fondandosi sul </w:t>
      </w:r>
      <w:r w:rsidRPr="00723DA3">
        <w:rPr>
          <w:rFonts w:cs="Arial"/>
          <w:color w:val="0C2340"/>
          <w:szCs w:val="20"/>
          <w:lang w:eastAsia="it-IT"/>
        </w:rPr>
        <w:t>significativo deterioramento</w:t>
      </w:r>
      <w:r w:rsidRPr="00CC2FF5">
        <w:rPr>
          <w:rFonts w:cs="Arial"/>
          <w:color w:val="0C2340"/>
          <w:szCs w:val="20"/>
          <w:lang w:eastAsia="it-IT"/>
        </w:rPr>
        <w:t xml:space="preserve"> della situazione della Carige</w:t>
      </w:r>
      <w:r w:rsidRPr="00723DA3">
        <w:rPr>
          <w:rFonts w:cs="Arial"/>
          <w:color w:val="0C2340"/>
          <w:szCs w:val="20"/>
          <w:lang w:eastAsia="it-IT"/>
        </w:rPr>
        <w:t>, mentre invece tale condizione non era prevista da detta disposizione, per lo scioglimento degli organi amministrativi o di controllo della banca, l’instaurazione dell’amministrazione straordinaria e l’estensione della sua durata per il periodo previsto nella decisione di proroga.</w:t>
      </w:r>
    </w:p>
    <w:p w14:paraId="0E5194F5" w14:textId="5B2F3B4A" w:rsidR="00555934" w:rsidRPr="006855FE" w:rsidRDefault="00CC2FF5" w:rsidP="00477BC2">
      <w:pPr>
        <w:spacing w:before="240" w:after="240"/>
        <w:rPr>
          <w:iCs/>
          <w:color w:val="0C2340"/>
          <w:szCs w:val="20"/>
        </w:rPr>
        <w:sectPr w:rsidR="00555934" w:rsidRPr="006855FE" w:rsidSect="00113CB1">
          <w:type w:val="continuous"/>
          <w:pgSz w:w="11900" w:h="16840"/>
          <w:pgMar w:top="1701" w:right="1134" w:bottom="1331" w:left="2835" w:header="709" w:footer="462" w:gutter="0"/>
          <w:cols w:num="2" w:space="575"/>
          <w:titlePg/>
          <w:docGrid w:linePitch="734"/>
          <w15:footnoteColumns w:val="1"/>
        </w:sectPr>
      </w:pPr>
      <w:r w:rsidRPr="00CC2FF5">
        <w:rPr>
          <w:rFonts w:cs="Arial"/>
          <w:color w:val="0C2340"/>
          <w:szCs w:val="20"/>
          <w:lang w:eastAsia="it-IT"/>
        </w:rPr>
        <w:t xml:space="preserve">Tutto ciò premesso, il Tribunale ha pertanto deciso di accogliere il </w:t>
      </w:r>
      <w:r w:rsidRPr="00723DA3">
        <w:rPr>
          <w:rFonts w:cs="Arial"/>
          <w:color w:val="0C2340"/>
          <w:szCs w:val="20"/>
          <w:lang w:eastAsia="it-IT"/>
        </w:rPr>
        <w:t>motivo di ricorso</w:t>
      </w:r>
      <w:r w:rsidRPr="00CC2FF5">
        <w:rPr>
          <w:rFonts w:cs="Arial"/>
          <w:color w:val="0C2340"/>
          <w:szCs w:val="20"/>
          <w:lang w:eastAsia="it-IT"/>
        </w:rPr>
        <w:t xml:space="preserve"> della Carige</w:t>
      </w:r>
      <w:r w:rsidRPr="00723DA3">
        <w:rPr>
          <w:rFonts w:cs="Arial"/>
          <w:color w:val="0C2340"/>
          <w:szCs w:val="20"/>
          <w:lang w:eastAsia="it-IT"/>
        </w:rPr>
        <w:t xml:space="preserve"> </w:t>
      </w:r>
      <w:r w:rsidRPr="00CC2FF5">
        <w:rPr>
          <w:rFonts w:cs="Arial"/>
          <w:color w:val="0C2340"/>
          <w:szCs w:val="20"/>
          <w:lang w:eastAsia="it-IT"/>
        </w:rPr>
        <w:t>annullando</w:t>
      </w:r>
      <w:r w:rsidRPr="00723DA3">
        <w:rPr>
          <w:rFonts w:cs="Arial"/>
          <w:color w:val="0C2340"/>
          <w:szCs w:val="20"/>
          <w:lang w:eastAsia="it-IT"/>
        </w:rPr>
        <w:t xml:space="preserve"> le decisioni </w:t>
      </w:r>
      <w:r w:rsidRPr="00EA5966">
        <w:rPr>
          <w:rFonts w:cs="Arial"/>
          <w:color w:val="0C2340"/>
          <w:szCs w:val="20"/>
          <w:lang w:eastAsia="it-IT"/>
        </w:rPr>
        <w:t>ECB-SSM-2019-ITCAR-11</w:t>
      </w:r>
      <w:r w:rsidRPr="00CC2FF5">
        <w:rPr>
          <w:rFonts w:cs="Arial"/>
          <w:color w:val="0C2340"/>
          <w:szCs w:val="20"/>
          <w:lang w:eastAsia="it-IT"/>
        </w:rPr>
        <w:t xml:space="preserve"> e ECB-SSM-2019-ITCAR-13</w:t>
      </w:r>
      <w:r w:rsidRPr="00EA5966">
        <w:rPr>
          <w:rFonts w:cs="Arial"/>
          <w:color w:val="0C2340"/>
          <w:szCs w:val="20"/>
          <w:lang w:eastAsia="it-IT"/>
        </w:rPr>
        <w:t xml:space="preserve"> della BCE</w:t>
      </w:r>
      <w:r w:rsidRPr="00CC2FF5">
        <w:rPr>
          <w:rFonts w:cs="Arial"/>
          <w:color w:val="0C2340"/>
          <w:szCs w:val="20"/>
          <w:lang w:eastAsia="it-IT"/>
        </w:rPr>
        <w:t xml:space="preserve"> </w:t>
      </w:r>
      <w:r w:rsidRPr="00723DA3">
        <w:rPr>
          <w:rFonts w:cs="Arial"/>
          <w:color w:val="0C2340"/>
          <w:szCs w:val="20"/>
          <w:lang w:eastAsia="it-IT"/>
        </w:rPr>
        <w:t>senza esaminare gli altri motivi</w:t>
      </w:r>
      <w:r w:rsidR="006855FE" w:rsidRPr="00CC2FF5">
        <w:rPr>
          <w:iCs/>
          <w:color w:val="0C2340"/>
          <w:szCs w:val="20"/>
        </w:rPr>
        <w:t>.</w:t>
      </w:r>
    </w:p>
    <w:p w14:paraId="6ACC2483" w14:textId="77777777" w:rsidR="0025021F" w:rsidRPr="006855FE" w:rsidRDefault="0025021F">
      <w:pPr>
        <w:rPr>
          <w:color w:val="0B2657"/>
          <w:szCs w:val="20"/>
        </w:rPr>
      </w:pPr>
      <w:r w:rsidRPr="006855FE">
        <w:rPr>
          <w:color w:val="0B2657"/>
          <w:szCs w:val="20"/>
        </w:rPr>
        <w:br w:type="page"/>
      </w:r>
    </w:p>
    <w:p w14:paraId="34A1A78F" w14:textId="77777777" w:rsidR="00D84735" w:rsidRPr="006855FE" w:rsidRDefault="00D84735" w:rsidP="00D84735">
      <w:pPr>
        <w:rPr>
          <w:szCs w:val="20"/>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56"/>
        <w:gridCol w:w="3964"/>
      </w:tblGrid>
      <w:tr w:rsidR="00555934" w14:paraId="03E5D94A" w14:textId="77777777" w:rsidTr="00555934">
        <w:trPr>
          <w:trHeight w:val="99"/>
        </w:trPr>
        <w:tc>
          <w:tcPr>
            <w:tcW w:w="2256" w:type="dxa"/>
            <w:vAlign w:val="center"/>
          </w:tcPr>
          <w:p w14:paraId="3B38C444" w14:textId="77777777" w:rsidR="00555934" w:rsidRDefault="00555934" w:rsidP="00BA3B03">
            <w:pPr>
              <w:jc w:val="center"/>
              <w:rPr>
                <w:noProof/>
                <w:lang w:eastAsia="it-IT"/>
              </w:rPr>
            </w:pPr>
          </w:p>
        </w:tc>
        <w:tc>
          <w:tcPr>
            <w:tcW w:w="3964" w:type="dxa"/>
          </w:tcPr>
          <w:p w14:paraId="0BCE497C" w14:textId="77777777" w:rsidR="00555934" w:rsidRPr="009F555A" w:rsidRDefault="00555934" w:rsidP="00BA3B03">
            <w:pPr>
              <w:rPr>
                <w:rFonts w:ascii="Poppins" w:hAnsi="Poppins" w:cs="Poppins"/>
                <w:color w:val="D31567"/>
                <w:sz w:val="18"/>
              </w:rPr>
            </w:pPr>
          </w:p>
        </w:tc>
      </w:tr>
      <w:tr w:rsidR="00555934" w:rsidRPr="004F2321" w14:paraId="658903F4" w14:textId="77777777" w:rsidTr="007B6C91">
        <w:trPr>
          <w:trHeight w:val="1701"/>
        </w:trPr>
        <w:tc>
          <w:tcPr>
            <w:tcW w:w="2256" w:type="dxa"/>
            <w:vAlign w:val="center"/>
          </w:tcPr>
          <w:p w14:paraId="23CDAB0D" w14:textId="77777777" w:rsidR="00555934" w:rsidRDefault="00FD7261" w:rsidP="007B6C91">
            <w:pPr>
              <w:jc w:val="center"/>
              <w:rPr>
                <w:szCs w:val="20"/>
              </w:rPr>
            </w:pPr>
            <w:r>
              <w:rPr>
                <w:noProof/>
                <w:szCs w:val="20"/>
                <w:lang w:eastAsia="it-IT"/>
              </w:rPr>
              <w:drawing>
                <wp:inline distT="0" distB="0" distL="0" distR="0" wp14:anchorId="0BD50904" wp14:editId="06C7A03E">
                  <wp:extent cx="1296000" cy="1620000"/>
                  <wp:effectExtent l="0" t="0" r="0" b="5715"/>
                  <wp:docPr id="4" name="Immagine 4" descr="Immagine che contiene persona, tuta, uomo, pos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o-Stillo-ppl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6000" cy="1620000"/>
                          </a:xfrm>
                          <a:prstGeom prst="rect">
                            <a:avLst/>
                          </a:prstGeom>
                        </pic:spPr>
                      </pic:pic>
                    </a:graphicData>
                  </a:graphic>
                </wp:inline>
              </w:drawing>
            </w:r>
          </w:p>
        </w:tc>
        <w:tc>
          <w:tcPr>
            <w:tcW w:w="3964" w:type="dxa"/>
          </w:tcPr>
          <w:p w14:paraId="2427C9EC" w14:textId="77777777" w:rsidR="005C7321" w:rsidRPr="009F555A" w:rsidRDefault="005C7321" w:rsidP="005C7321">
            <w:pPr>
              <w:rPr>
                <w:rFonts w:ascii="Poppins" w:hAnsi="Poppins" w:cs="Poppins"/>
                <w:color w:val="D31567"/>
                <w:sz w:val="18"/>
              </w:rPr>
            </w:pPr>
            <w:r>
              <w:rPr>
                <w:rFonts w:ascii="Poppins" w:hAnsi="Poppins" w:cs="Poppins"/>
                <w:color w:val="D31567"/>
                <w:sz w:val="18"/>
              </w:rPr>
              <w:t>Marco Stillo</w:t>
            </w:r>
          </w:p>
          <w:p w14:paraId="257A1F0E" w14:textId="77777777" w:rsidR="005C7321" w:rsidRPr="009F555A" w:rsidRDefault="005C7321" w:rsidP="005C7321">
            <w:pPr>
              <w:rPr>
                <w:rFonts w:ascii="Poppins SemiBold" w:hAnsi="Poppins SemiBold" w:cs="Poppins SemiBold"/>
                <w:b/>
                <w:color w:val="01122B"/>
                <w:sz w:val="15"/>
              </w:rPr>
            </w:pPr>
            <w:r>
              <w:rPr>
                <w:rFonts w:ascii="Poppins SemiBold" w:hAnsi="Poppins SemiBold" w:cs="Poppins SemiBold"/>
                <w:b/>
                <w:color w:val="01122B"/>
                <w:sz w:val="15"/>
              </w:rPr>
              <w:t>ASSOCIATE</w:t>
            </w:r>
          </w:p>
          <w:p w14:paraId="59061807" w14:textId="77777777" w:rsidR="005C7321" w:rsidRPr="009F555A" w:rsidRDefault="005C7321" w:rsidP="005C7321">
            <w:pPr>
              <w:rPr>
                <w:rFonts w:ascii="Poppins" w:hAnsi="Poppins" w:cs="Poppins"/>
                <w:color w:val="01122B"/>
                <w:sz w:val="15"/>
              </w:rPr>
            </w:pPr>
          </w:p>
          <w:p w14:paraId="59D4AA5F" w14:textId="77777777" w:rsidR="005C7321" w:rsidRPr="009F555A" w:rsidRDefault="005C7321" w:rsidP="005C7321">
            <w:pPr>
              <w:rPr>
                <w:rFonts w:ascii="Poppins" w:hAnsi="Poppins" w:cs="Poppins"/>
                <w:color w:val="01122B"/>
                <w:sz w:val="15"/>
              </w:rPr>
            </w:pPr>
            <w:r w:rsidRPr="009F555A">
              <w:rPr>
                <w:rFonts w:ascii="Poppins" w:hAnsi="Poppins" w:cs="Poppins"/>
                <w:noProof/>
                <w:color w:val="01122B"/>
                <w:sz w:val="15"/>
                <w:lang w:eastAsia="it-IT"/>
              </w:rPr>
              <w:drawing>
                <wp:inline distT="0" distB="0" distL="0" distR="0" wp14:anchorId="335B306F" wp14:editId="4C5DD7DB">
                  <wp:extent cx="144000" cy="144000"/>
                  <wp:effectExtent l="0" t="0" r="0" b="0"/>
                  <wp:docPr id="1" name="Elemento grafico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MPoHHs.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44000" cy="144000"/>
                          </a:xfrm>
                          <a:prstGeom prst="rect">
                            <a:avLst/>
                          </a:prstGeom>
                        </pic:spPr>
                      </pic:pic>
                    </a:graphicData>
                  </a:graphic>
                </wp:inline>
              </w:drawing>
            </w:r>
            <w:r>
              <w:rPr>
                <w:rFonts w:ascii="Poppins" w:hAnsi="Poppins" w:cs="Poppins"/>
                <w:color w:val="01122B"/>
                <w:sz w:val="15"/>
              </w:rPr>
              <w:t xml:space="preserve">   m</w:t>
            </w:r>
            <w:r w:rsidRPr="009F555A">
              <w:rPr>
                <w:rFonts w:ascii="Poppins" w:hAnsi="Poppins" w:cs="Poppins"/>
                <w:color w:val="01122B"/>
                <w:sz w:val="15"/>
              </w:rPr>
              <w:t>.</w:t>
            </w:r>
            <w:r>
              <w:rPr>
                <w:rFonts w:ascii="Poppins" w:hAnsi="Poppins" w:cs="Poppins"/>
                <w:color w:val="01122B"/>
                <w:sz w:val="15"/>
              </w:rPr>
              <w:t>stillo</w:t>
            </w:r>
            <w:r w:rsidRPr="009F555A">
              <w:rPr>
                <w:rFonts w:ascii="Poppins" w:hAnsi="Poppins" w:cs="Poppins"/>
                <w:color w:val="01122B"/>
                <w:sz w:val="15"/>
              </w:rPr>
              <w:t>@dejalex.com</w:t>
            </w:r>
            <w:r w:rsidRPr="009F555A">
              <w:rPr>
                <w:rFonts w:ascii="Poppins" w:hAnsi="Poppins" w:cs="Poppins"/>
                <w:color w:val="01122B"/>
                <w:sz w:val="15"/>
              </w:rPr>
              <w:br/>
            </w:r>
            <w:r w:rsidRPr="009F555A">
              <w:rPr>
                <w:rFonts w:ascii="Poppins" w:hAnsi="Poppins" w:cs="Poppins"/>
                <w:noProof/>
                <w:color w:val="01122B"/>
                <w:sz w:val="15"/>
                <w:lang w:eastAsia="it-IT"/>
              </w:rPr>
              <w:drawing>
                <wp:inline distT="0" distB="0" distL="0" distR="0" wp14:anchorId="472EDBFA" wp14:editId="6BB9E37A">
                  <wp:extent cx="144000" cy="144000"/>
                  <wp:effectExtent l="0" t="0" r="0" b="0"/>
                  <wp:docPr id="2" name="Elemento grafico 2" descr="Corn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diafile_8pHwR9.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44000" cy="144000"/>
                          </a:xfrm>
                          <a:prstGeom prst="rect">
                            <a:avLst/>
                          </a:prstGeom>
                        </pic:spPr>
                      </pic:pic>
                    </a:graphicData>
                  </a:graphic>
                </wp:inline>
              </w:drawing>
            </w:r>
            <w:r>
              <w:rPr>
                <w:rFonts w:ascii="Poppins" w:hAnsi="Poppins" w:cs="Poppins"/>
                <w:color w:val="01122B"/>
                <w:sz w:val="15"/>
              </w:rPr>
              <w:t xml:space="preserve">  </w:t>
            </w:r>
            <w:r w:rsidRPr="009F555A">
              <w:rPr>
                <w:rFonts w:ascii="Poppins" w:hAnsi="Poppins" w:cs="Poppins"/>
                <w:color w:val="01122B"/>
                <w:sz w:val="15"/>
              </w:rPr>
              <w:t>+32 (0)26455670</w:t>
            </w:r>
          </w:p>
          <w:p w14:paraId="4E98D295" w14:textId="77777777" w:rsidR="005C7321" w:rsidRPr="00816663" w:rsidRDefault="005C7321" w:rsidP="005C7321">
            <w:pPr>
              <w:rPr>
                <w:rFonts w:ascii="Poppins" w:hAnsi="Poppins" w:cs="Poppins"/>
                <w:color w:val="01122B"/>
                <w:sz w:val="15"/>
                <w:lang w:val="fr-FR"/>
              </w:rPr>
            </w:pPr>
            <w:r w:rsidRPr="009F555A">
              <w:rPr>
                <w:rFonts w:ascii="Poppins" w:hAnsi="Poppins" w:cs="Poppins"/>
                <w:noProof/>
                <w:color w:val="01122B"/>
                <w:sz w:val="15"/>
                <w:lang w:eastAsia="it-IT"/>
              </w:rPr>
              <w:drawing>
                <wp:inline distT="0" distB="0" distL="0" distR="0" wp14:anchorId="5558C178" wp14:editId="49030610">
                  <wp:extent cx="180000" cy="180000"/>
                  <wp:effectExtent l="0" t="0" r="0" b="0"/>
                  <wp:docPr id="3" name="Elemento grafico 3" descr="Evidenzi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ediafile_5YwlSm.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80000" cy="180000"/>
                          </a:xfrm>
                          <a:prstGeom prst="rect">
                            <a:avLst/>
                          </a:prstGeom>
                        </pic:spPr>
                      </pic:pic>
                    </a:graphicData>
                  </a:graphic>
                </wp:inline>
              </w:drawing>
            </w:r>
            <w:r w:rsidRPr="0016116A">
              <w:rPr>
                <w:rFonts w:ascii="Poppins" w:hAnsi="Poppins" w:cs="Poppins"/>
                <w:color w:val="01122B"/>
                <w:sz w:val="15"/>
                <w:lang w:val="fr-FR"/>
              </w:rPr>
              <w:t xml:space="preserve"> </w:t>
            </w:r>
            <w:r w:rsidRPr="00816663">
              <w:rPr>
                <w:rFonts w:ascii="Poppins" w:hAnsi="Poppins" w:cs="Poppins"/>
                <w:color w:val="01122B"/>
                <w:sz w:val="15"/>
                <w:lang w:val="fr-FR"/>
              </w:rPr>
              <w:t>Chaussée de La Hulpe 187</w:t>
            </w:r>
          </w:p>
          <w:p w14:paraId="57D37053" w14:textId="77777777" w:rsidR="00555934" w:rsidRPr="00816663" w:rsidRDefault="005C7321" w:rsidP="005C7321">
            <w:pPr>
              <w:rPr>
                <w:rFonts w:ascii="Poppins" w:hAnsi="Poppins" w:cs="Poppins"/>
                <w:color w:val="0C2340"/>
                <w:sz w:val="11"/>
                <w:lang w:val="fr-FR"/>
              </w:rPr>
            </w:pPr>
            <w:r w:rsidRPr="00816663">
              <w:rPr>
                <w:rFonts w:ascii="Poppins" w:hAnsi="Poppins" w:cs="Poppins"/>
                <w:color w:val="01122B"/>
                <w:sz w:val="15"/>
                <w:lang w:val="fr-FR"/>
              </w:rPr>
              <w:t xml:space="preserve">       </w:t>
            </w:r>
            <w:r>
              <w:rPr>
                <w:rFonts w:ascii="Poppins" w:hAnsi="Poppins" w:cs="Poppins"/>
                <w:color w:val="01122B"/>
                <w:sz w:val="15"/>
                <w:lang w:val="fr-FR"/>
              </w:rPr>
              <w:t xml:space="preserve"> </w:t>
            </w:r>
            <w:r w:rsidRPr="00816663">
              <w:rPr>
                <w:rFonts w:ascii="Poppins" w:hAnsi="Poppins" w:cs="Poppins"/>
                <w:color w:val="01122B"/>
                <w:sz w:val="15"/>
                <w:lang w:val="fr-FR"/>
              </w:rPr>
              <w:t>1170 - Bruxelles</w:t>
            </w:r>
          </w:p>
        </w:tc>
      </w:tr>
    </w:tbl>
    <w:p w14:paraId="5469A5BE" w14:textId="77777777" w:rsidR="00D84735" w:rsidRPr="00A93D00" w:rsidRDefault="00D84735" w:rsidP="00D84735">
      <w:pPr>
        <w:rPr>
          <w:szCs w:val="20"/>
        </w:rPr>
      </w:pPr>
      <w:r>
        <w:rPr>
          <w:noProof/>
          <w:lang w:eastAsia="it-IT"/>
        </w:rPr>
        <mc:AlternateContent>
          <mc:Choice Requires="wps">
            <w:drawing>
              <wp:anchor distT="0" distB="0" distL="114300" distR="114300" simplePos="0" relativeHeight="251660288" behindDoc="0" locked="0" layoutInCell="1" allowOverlap="1" wp14:anchorId="140C7C1E" wp14:editId="3E023861">
                <wp:simplePos x="0" y="0"/>
                <wp:positionH relativeFrom="column">
                  <wp:posOffset>9120</wp:posOffset>
                </wp:positionH>
                <wp:positionV relativeFrom="page">
                  <wp:posOffset>5758180</wp:posOffset>
                </wp:positionV>
                <wp:extent cx="2564130" cy="2219960"/>
                <wp:effectExtent l="0" t="0" r="1270" b="0"/>
                <wp:wrapNone/>
                <wp:docPr id="5" name="Casella di testo 5"/>
                <wp:cNvGraphicFramePr/>
                <a:graphic xmlns:a="http://schemas.openxmlformats.org/drawingml/2006/main">
                  <a:graphicData uri="http://schemas.microsoft.com/office/word/2010/wordprocessingShape">
                    <wps:wsp>
                      <wps:cNvSpPr txBox="1"/>
                      <wps:spPr>
                        <a:xfrm>
                          <a:off x="0" y="0"/>
                          <a:ext cx="2564130" cy="2219960"/>
                        </a:xfrm>
                        <a:prstGeom prst="rect">
                          <a:avLst/>
                        </a:prstGeom>
                        <a:noFill/>
                        <a:ln>
                          <a:noFill/>
                        </a:ln>
                        <a:effectLst/>
                      </wps:spPr>
                      <wps:txbx>
                        <w:txbxContent>
                          <w:p w14:paraId="016D97DF" w14:textId="77777777" w:rsidR="00D84735" w:rsidRPr="009F555A" w:rsidRDefault="00D84735" w:rsidP="00D84735">
                            <w:pPr>
                              <w:rPr>
                                <w:color w:val="01122B"/>
                                <w:sz w:val="16"/>
                                <w:szCs w:val="16"/>
                              </w:rPr>
                            </w:pPr>
                            <w:r w:rsidRPr="009F555A">
                              <w:rPr>
                                <w:color w:val="01122B"/>
                                <w:sz w:val="16"/>
                                <w:szCs w:val="16"/>
                              </w:rPr>
                              <w:t>MILANO</w:t>
                            </w:r>
                          </w:p>
                          <w:p w14:paraId="6467F690" w14:textId="77777777" w:rsidR="00D84735" w:rsidRPr="009F555A" w:rsidRDefault="00D84735" w:rsidP="00D84735">
                            <w:pPr>
                              <w:rPr>
                                <w:color w:val="01122B"/>
                                <w:sz w:val="16"/>
                                <w:szCs w:val="16"/>
                              </w:rPr>
                            </w:pPr>
                            <w:r w:rsidRPr="009F555A">
                              <w:rPr>
                                <w:color w:val="01122B"/>
                                <w:sz w:val="16"/>
                                <w:szCs w:val="16"/>
                              </w:rPr>
                              <w:t>Via San Paolo, 7 · 20121 Milano, Italia</w:t>
                            </w:r>
                          </w:p>
                          <w:p w14:paraId="036AE722" w14:textId="77777777" w:rsidR="00D84735" w:rsidRPr="009F555A" w:rsidRDefault="00D84735" w:rsidP="00D84735">
                            <w:pPr>
                              <w:rPr>
                                <w:color w:val="01122B"/>
                                <w:sz w:val="16"/>
                                <w:szCs w:val="16"/>
                              </w:rPr>
                            </w:pPr>
                            <w:r w:rsidRPr="009F555A">
                              <w:rPr>
                                <w:color w:val="01122B"/>
                                <w:sz w:val="16"/>
                                <w:szCs w:val="16"/>
                              </w:rPr>
                              <w:t>T. +39 02 72554.1 · F. +39 02 72554.400</w:t>
                            </w:r>
                          </w:p>
                          <w:p w14:paraId="3731A2BF" w14:textId="77777777" w:rsidR="00D84735" w:rsidRPr="009F555A" w:rsidRDefault="00D84735" w:rsidP="00D84735">
                            <w:pPr>
                              <w:rPr>
                                <w:color w:val="01122B"/>
                                <w:sz w:val="16"/>
                                <w:szCs w:val="16"/>
                              </w:rPr>
                            </w:pPr>
                            <w:r w:rsidRPr="009F555A">
                              <w:rPr>
                                <w:color w:val="01122B"/>
                                <w:sz w:val="16"/>
                                <w:szCs w:val="16"/>
                              </w:rPr>
                              <w:t>milan@dejalex.com</w:t>
                            </w:r>
                          </w:p>
                          <w:p w14:paraId="063D575A" w14:textId="77777777" w:rsidR="00D84735" w:rsidRPr="009F555A" w:rsidRDefault="00D84735" w:rsidP="00D84735">
                            <w:pPr>
                              <w:rPr>
                                <w:color w:val="01122B"/>
                                <w:sz w:val="16"/>
                                <w:szCs w:val="16"/>
                              </w:rPr>
                            </w:pPr>
                          </w:p>
                          <w:p w14:paraId="7A4CC2A0" w14:textId="77777777" w:rsidR="00D84735" w:rsidRPr="009F555A" w:rsidRDefault="00D84735" w:rsidP="00D84735">
                            <w:pPr>
                              <w:rPr>
                                <w:color w:val="01122B"/>
                                <w:sz w:val="16"/>
                                <w:szCs w:val="16"/>
                              </w:rPr>
                            </w:pPr>
                            <w:r w:rsidRPr="009F555A">
                              <w:rPr>
                                <w:color w:val="01122B"/>
                                <w:sz w:val="16"/>
                                <w:szCs w:val="16"/>
                              </w:rPr>
                              <w:t>ROMA</w:t>
                            </w:r>
                          </w:p>
                          <w:p w14:paraId="6DD37766" w14:textId="77777777" w:rsidR="00D84735" w:rsidRPr="009F555A" w:rsidRDefault="00D84735" w:rsidP="00D84735">
                            <w:pPr>
                              <w:rPr>
                                <w:color w:val="01122B"/>
                                <w:sz w:val="16"/>
                                <w:szCs w:val="16"/>
                              </w:rPr>
                            </w:pPr>
                            <w:r w:rsidRPr="009F555A">
                              <w:rPr>
                                <w:color w:val="01122B"/>
                                <w:sz w:val="16"/>
                                <w:szCs w:val="16"/>
                              </w:rPr>
                              <w:t>Via Vincenzo Bellini, 24 · 00198 Roma, Italia</w:t>
                            </w:r>
                          </w:p>
                          <w:p w14:paraId="649866E2" w14:textId="77777777" w:rsidR="00D84735" w:rsidRPr="009F555A" w:rsidRDefault="00D84735" w:rsidP="00D84735">
                            <w:pPr>
                              <w:rPr>
                                <w:color w:val="01122B"/>
                                <w:sz w:val="16"/>
                                <w:szCs w:val="16"/>
                              </w:rPr>
                            </w:pPr>
                            <w:r w:rsidRPr="009F555A">
                              <w:rPr>
                                <w:color w:val="01122B"/>
                                <w:sz w:val="16"/>
                                <w:szCs w:val="16"/>
                              </w:rPr>
                              <w:t>T. +39 06 809154.1 · F. +39 06 809154.44</w:t>
                            </w:r>
                          </w:p>
                          <w:p w14:paraId="45AFDC6B" w14:textId="77777777" w:rsidR="00D84735" w:rsidRPr="00816663" w:rsidRDefault="00D84735" w:rsidP="00D84735">
                            <w:pPr>
                              <w:rPr>
                                <w:color w:val="01122B"/>
                                <w:sz w:val="16"/>
                                <w:szCs w:val="16"/>
                                <w:lang w:val="fr-FR"/>
                              </w:rPr>
                            </w:pPr>
                            <w:r w:rsidRPr="00816663">
                              <w:rPr>
                                <w:color w:val="01122B"/>
                                <w:sz w:val="16"/>
                                <w:szCs w:val="16"/>
                                <w:lang w:val="fr-FR"/>
                              </w:rPr>
                              <w:t>rome@dejalex.com</w:t>
                            </w:r>
                          </w:p>
                          <w:p w14:paraId="06A7D96E" w14:textId="77777777" w:rsidR="00D84735" w:rsidRPr="00816663" w:rsidRDefault="00D84735" w:rsidP="00D84735">
                            <w:pPr>
                              <w:rPr>
                                <w:color w:val="01122B"/>
                                <w:sz w:val="16"/>
                                <w:szCs w:val="16"/>
                                <w:lang w:val="fr-FR"/>
                              </w:rPr>
                            </w:pPr>
                          </w:p>
                          <w:p w14:paraId="704CFB4B" w14:textId="77777777" w:rsidR="00D84735" w:rsidRPr="00816663" w:rsidRDefault="00D84735" w:rsidP="00D84735">
                            <w:pPr>
                              <w:rPr>
                                <w:color w:val="01122B"/>
                                <w:sz w:val="16"/>
                                <w:szCs w:val="16"/>
                                <w:lang w:val="fr-FR"/>
                              </w:rPr>
                            </w:pPr>
                            <w:r w:rsidRPr="00816663">
                              <w:rPr>
                                <w:color w:val="01122B"/>
                                <w:sz w:val="16"/>
                                <w:szCs w:val="16"/>
                                <w:lang w:val="fr-FR"/>
                              </w:rPr>
                              <w:t>BRUXELLES</w:t>
                            </w:r>
                          </w:p>
                          <w:p w14:paraId="54515E23" w14:textId="77777777" w:rsidR="00D84735" w:rsidRPr="00816663" w:rsidRDefault="00D84735" w:rsidP="00D84735">
                            <w:pPr>
                              <w:rPr>
                                <w:color w:val="01122B"/>
                                <w:sz w:val="16"/>
                                <w:szCs w:val="16"/>
                                <w:lang w:val="fr-FR"/>
                              </w:rPr>
                            </w:pPr>
                            <w:r w:rsidRPr="00816663">
                              <w:rPr>
                                <w:color w:val="01122B"/>
                                <w:sz w:val="16"/>
                                <w:szCs w:val="16"/>
                                <w:lang w:val="fr-FR"/>
                              </w:rPr>
                              <w:t>Chaussée de La Hulpe 187 · 1170 Bruxelles, Belgique</w:t>
                            </w:r>
                          </w:p>
                          <w:p w14:paraId="50954226" w14:textId="77777777" w:rsidR="00D84735" w:rsidRPr="00816663" w:rsidRDefault="00D84735" w:rsidP="00D84735">
                            <w:pPr>
                              <w:rPr>
                                <w:color w:val="01122B"/>
                                <w:sz w:val="16"/>
                                <w:szCs w:val="16"/>
                                <w:lang w:val="fr-FR"/>
                              </w:rPr>
                            </w:pPr>
                            <w:r w:rsidRPr="00816663">
                              <w:rPr>
                                <w:color w:val="01122B"/>
                                <w:sz w:val="16"/>
                                <w:szCs w:val="16"/>
                                <w:lang w:val="fr-FR"/>
                              </w:rPr>
                              <w:t>T. +32 (0)26455670 · F. +32 (0)27420138</w:t>
                            </w:r>
                          </w:p>
                          <w:p w14:paraId="0917990E" w14:textId="77777777" w:rsidR="00D84735" w:rsidRPr="00816663" w:rsidRDefault="00D84735" w:rsidP="00D84735">
                            <w:pPr>
                              <w:rPr>
                                <w:color w:val="01122B"/>
                                <w:sz w:val="16"/>
                                <w:szCs w:val="16"/>
                                <w:lang w:val="fr-FR"/>
                              </w:rPr>
                            </w:pPr>
                            <w:r w:rsidRPr="00816663">
                              <w:rPr>
                                <w:color w:val="01122B"/>
                                <w:sz w:val="16"/>
                                <w:szCs w:val="16"/>
                                <w:lang w:val="fr-FR"/>
                              </w:rPr>
                              <w:t>brussels@dejalex.com</w:t>
                            </w:r>
                          </w:p>
                          <w:p w14:paraId="69575B1E" w14:textId="77777777" w:rsidR="00D84735" w:rsidRPr="00816663" w:rsidRDefault="00D84735" w:rsidP="00D84735">
                            <w:pPr>
                              <w:rPr>
                                <w:color w:val="01122B"/>
                                <w:sz w:val="16"/>
                                <w:szCs w:val="16"/>
                                <w:lang w:val="fr-FR"/>
                              </w:rPr>
                            </w:pPr>
                          </w:p>
                          <w:p w14:paraId="574F6E1B" w14:textId="77777777" w:rsidR="00D84735" w:rsidRPr="00816663" w:rsidRDefault="00D84735" w:rsidP="00D84735">
                            <w:pPr>
                              <w:rPr>
                                <w:color w:val="01122B"/>
                                <w:sz w:val="16"/>
                                <w:szCs w:val="16"/>
                                <w:lang w:val="fr-FR"/>
                              </w:rPr>
                            </w:pPr>
                            <w:r w:rsidRPr="00816663">
                              <w:rPr>
                                <w:color w:val="01122B"/>
                                <w:sz w:val="16"/>
                                <w:szCs w:val="16"/>
                                <w:lang w:val="fr-FR"/>
                              </w:rPr>
                              <w:t>MOSCOW</w:t>
                            </w:r>
                          </w:p>
                          <w:p w14:paraId="1D3FE457" w14:textId="77777777" w:rsidR="00D84735" w:rsidRPr="00DB41CA" w:rsidRDefault="009376D0" w:rsidP="009376D0">
                            <w:pPr>
                              <w:rPr>
                                <w:color w:val="01122B"/>
                                <w:sz w:val="16"/>
                                <w:szCs w:val="16"/>
                              </w:rPr>
                            </w:pPr>
                            <w:r w:rsidRPr="009376D0">
                              <w:rPr>
                                <w:color w:val="01122B"/>
                                <w:sz w:val="16"/>
                                <w:szCs w:val="16"/>
                              </w:rPr>
                              <w:t xml:space="preserve">Ulitsa </w:t>
                            </w:r>
                            <w:proofErr w:type="spellStart"/>
                            <w:r w:rsidRPr="009376D0">
                              <w:rPr>
                                <w:color w:val="01122B"/>
                                <w:sz w:val="16"/>
                                <w:szCs w:val="16"/>
                              </w:rPr>
                              <w:t>Bolshaya</w:t>
                            </w:r>
                            <w:proofErr w:type="spellEnd"/>
                            <w:r w:rsidRPr="009376D0">
                              <w:rPr>
                                <w:color w:val="01122B"/>
                                <w:sz w:val="16"/>
                                <w:szCs w:val="16"/>
                              </w:rPr>
                              <w:t xml:space="preserve"> </w:t>
                            </w:r>
                            <w:proofErr w:type="spellStart"/>
                            <w:r w:rsidRPr="009376D0">
                              <w:rPr>
                                <w:color w:val="01122B"/>
                                <w:sz w:val="16"/>
                                <w:szCs w:val="16"/>
                              </w:rPr>
                              <w:t>Ordynka</w:t>
                            </w:r>
                            <w:proofErr w:type="spellEnd"/>
                            <w:r w:rsidRPr="009376D0">
                              <w:rPr>
                                <w:color w:val="01122B"/>
                                <w:sz w:val="16"/>
                                <w:szCs w:val="16"/>
                              </w:rPr>
                              <w:t xml:space="preserve"> 37/4</w:t>
                            </w:r>
                            <w:r>
                              <w:rPr>
                                <w:color w:val="01122B"/>
                                <w:sz w:val="16"/>
                                <w:szCs w:val="16"/>
                              </w:rPr>
                              <w:t xml:space="preserve"> </w:t>
                            </w:r>
                            <w:r w:rsidR="00D84735" w:rsidRPr="00DB41CA">
                              <w:rPr>
                                <w:color w:val="01122B"/>
                                <w:sz w:val="16"/>
                                <w:szCs w:val="16"/>
                              </w:rPr>
                              <w:t xml:space="preserve">· </w:t>
                            </w:r>
                            <w:r w:rsidRPr="009376D0">
                              <w:rPr>
                                <w:color w:val="01122B"/>
                                <w:sz w:val="16"/>
                                <w:szCs w:val="16"/>
                              </w:rPr>
                              <w:t>119017</w:t>
                            </w:r>
                            <w:r w:rsidR="00D84735" w:rsidRPr="00DB41CA">
                              <w:rPr>
                                <w:color w:val="01122B"/>
                                <w:sz w:val="16"/>
                                <w:szCs w:val="16"/>
                              </w:rPr>
                              <w:t xml:space="preserve">, </w:t>
                            </w:r>
                            <w:proofErr w:type="spellStart"/>
                            <w:r w:rsidR="00D84735" w:rsidRPr="00DB41CA">
                              <w:rPr>
                                <w:color w:val="01122B"/>
                                <w:sz w:val="16"/>
                                <w:szCs w:val="16"/>
                              </w:rPr>
                              <w:t>Moscow</w:t>
                            </w:r>
                            <w:proofErr w:type="spellEnd"/>
                            <w:r w:rsidR="00D84735" w:rsidRPr="00DB41CA">
                              <w:rPr>
                                <w:color w:val="01122B"/>
                                <w:sz w:val="16"/>
                                <w:szCs w:val="16"/>
                              </w:rPr>
                              <w:t>, Russia</w:t>
                            </w:r>
                          </w:p>
                          <w:p w14:paraId="3727B1FA" w14:textId="77777777" w:rsidR="00D84735" w:rsidRPr="00DB41CA" w:rsidRDefault="00D84735" w:rsidP="00D84735">
                            <w:pPr>
                              <w:rPr>
                                <w:color w:val="01122B"/>
                                <w:sz w:val="16"/>
                                <w:szCs w:val="16"/>
                              </w:rPr>
                            </w:pPr>
                            <w:r w:rsidRPr="00DB41CA">
                              <w:rPr>
                                <w:color w:val="01122B"/>
                                <w:sz w:val="16"/>
                                <w:szCs w:val="16"/>
                              </w:rPr>
                              <w:t>T. +7 495 792 54 92 · F. +7 495 792 54 93</w:t>
                            </w:r>
                          </w:p>
                          <w:p w14:paraId="08E38B88" w14:textId="77777777" w:rsidR="00D84735" w:rsidRPr="009F555A" w:rsidRDefault="00D84735">
                            <w:pPr>
                              <w:rPr>
                                <w:color w:val="01122B"/>
                                <w:sz w:val="16"/>
                                <w:szCs w:val="16"/>
                              </w:rPr>
                            </w:pPr>
                            <w:r w:rsidRPr="009F555A">
                              <w:rPr>
                                <w:color w:val="01122B"/>
                                <w:sz w:val="16"/>
                                <w:szCs w:val="16"/>
                              </w:rPr>
                              <w:t>moscow@dejalex.com</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140C7C1E" id="_x0000_t202" coordsize="21600,21600" o:spt="202" path="m0,0l0,21600,21600,21600,21600,0xe">
                <v:stroke joinstyle="miter"/>
                <v:path gradientshapeok="t" o:connecttype="rect"/>
              </v:shapetype>
              <v:shape id="Casella di testo 5" o:spid="_x0000_s1026" type="#_x0000_t202" style="position:absolute;margin-left:.7pt;margin-top:453.4pt;width:201.9pt;height:174.8pt;z-index:25166028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" filled="f" stroked="f">
                <v:textbox style="mso-fit-shape-to-text:t" inset="0,0,0,0">
                  <w:txbxContent>
                    <w:p w14:paraId="016D97DF" w14:textId="77777777" w:rsidR="00D84735" w:rsidRPr="009F555A" w:rsidRDefault="00D84735" w:rsidP="00D84735">
                      <w:pPr>
                        <w:rPr>
                          <w:color w:val="01122B"/>
                          <w:sz w:val="16"/>
                          <w:szCs w:val="16"/>
                        </w:rPr>
                      </w:pPr>
                      <w:r w:rsidRPr="009F555A">
                        <w:rPr>
                          <w:color w:val="01122B"/>
                          <w:sz w:val="16"/>
                          <w:szCs w:val="16"/>
                        </w:rPr>
                        <w:t>MILANO</w:t>
                      </w:r>
                    </w:p>
                    <w:p w14:paraId="6467F690" w14:textId="77777777" w:rsidR="00D84735" w:rsidRPr="009F555A" w:rsidRDefault="00D84735" w:rsidP="00D84735">
                      <w:pPr>
                        <w:rPr>
                          <w:color w:val="01122B"/>
                          <w:sz w:val="16"/>
                          <w:szCs w:val="16"/>
                        </w:rPr>
                      </w:pPr>
                      <w:r w:rsidRPr="009F555A">
                        <w:rPr>
                          <w:color w:val="01122B"/>
                          <w:sz w:val="16"/>
                          <w:szCs w:val="16"/>
                        </w:rPr>
                        <w:t>Via San Paolo, 7 · 20121 Milano, Italia</w:t>
                      </w:r>
                    </w:p>
                    <w:p w14:paraId="036AE722" w14:textId="77777777" w:rsidR="00D84735" w:rsidRPr="009F555A" w:rsidRDefault="00D84735" w:rsidP="00D84735">
                      <w:pPr>
                        <w:rPr>
                          <w:color w:val="01122B"/>
                          <w:sz w:val="16"/>
                          <w:szCs w:val="16"/>
                        </w:rPr>
                      </w:pPr>
                      <w:r w:rsidRPr="009F555A">
                        <w:rPr>
                          <w:color w:val="01122B"/>
                          <w:sz w:val="16"/>
                          <w:szCs w:val="16"/>
                        </w:rPr>
                        <w:t>T. +39 02 72554.1 · F. +39 02 72554.400</w:t>
                      </w:r>
                    </w:p>
                    <w:p w14:paraId="3731A2BF" w14:textId="77777777" w:rsidR="00D84735" w:rsidRPr="009F555A" w:rsidRDefault="00D84735" w:rsidP="00D84735">
                      <w:pPr>
                        <w:rPr>
                          <w:color w:val="01122B"/>
                          <w:sz w:val="16"/>
                          <w:szCs w:val="16"/>
                        </w:rPr>
                      </w:pPr>
                      <w:r w:rsidRPr="009F555A">
                        <w:rPr>
                          <w:color w:val="01122B"/>
                          <w:sz w:val="16"/>
                          <w:szCs w:val="16"/>
                        </w:rPr>
                        <w:t>milan@dejalex.com</w:t>
                      </w:r>
                    </w:p>
                    <w:p w14:paraId="063D575A" w14:textId="77777777" w:rsidR="00D84735" w:rsidRPr="009F555A" w:rsidRDefault="00D84735" w:rsidP="00D84735">
                      <w:pPr>
                        <w:rPr>
                          <w:color w:val="01122B"/>
                          <w:sz w:val="16"/>
                          <w:szCs w:val="16"/>
                        </w:rPr>
                      </w:pPr>
                    </w:p>
                    <w:p w14:paraId="7A4CC2A0" w14:textId="77777777" w:rsidR="00D84735" w:rsidRPr="009F555A" w:rsidRDefault="00D84735" w:rsidP="00D84735">
                      <w:pPr>
                        <w:rPr>
                          <w:color w:val="01122B"/>
                          <w:sz w:val="16"/>
                          <w:szCs w:val="16"/>
                        </w:rPr>
                      </w:pPr>
                      <w:r w:rsidRPr="009F555A">
                        <w:rPr>
                          <w:color w:val="01122B"/>
                          <w:sz w:val="16"/>
                          <w:szCs w:val="16"/>
                        </w:rPr>
                        <w:t>ROMA</w:t>
                      </w:r>
                    </w:p>
                    <w:p w14:paraId="6DD37766" w14:textId="77777777" w:rsidR="00D84735" w:rsidRPr="009F555A" w:rsidRDefault="00D84735" w:rsidP="00D84735">
                      <w:pPr>
                        <w:rPr>
                          <w:color w:val="01122B"/>
                          <w:sz w:val="16"/>
                          <w:szCs w:val="16"/>
                        </w:rPr>
                      </w:pPr>
                      <w:r w:rsidRPr="009F555A">
                        <w:rPr>
                          <w:color w:val="01122B"/>
                          <w:sz w:val="16"/>
                          <w:szCs w:val="16"/>
                        </w:rPr>
                        <w:t>Via Vincenzo Bellini, 24 · 00198 Roma, Italia</w:t>
                      </w:r>
                    </w:p>
                    <w:p w14:paraId="649866E2" w14:textId="77777777" w:rsidR="00D84735" w:rsidRPr="009F555A" w:rsidRDefault="00D84735" w:rsidP="00D84735">
                      <w:pPr>
                        <w:rPr>
                          <w:color w:val="01122B"/>
                          <w:sz w:val="16"/>
                          <w:szCs w:val="16"/>
                        </w:rPr>
                      </w:pPr>
                      <w:r w:rsidRPr="009F555A">
                        <w:rPr>
                          <w:color w:val="01122B"/>
                          <w:sz w:val="16"/>
                          <w:szCs w:val="16"/>
                        </w:rPr>
                        <w:t>T. +39 06 809154.1 · F. +39 06 809154.44</w:t>
                      </w:r>
                    </w:p>
                    <w:p w14:paraId="45AFDC6B" w14:textId="77777777" w:rsidR="00D84735" w:rsidRPr="00816663" w:rsidRDefault="00D84735" w:rsidP="00D84735">
                      <w:pPr>
                        <w:rPr>
                          <w:color w:val="01122B"/>
                          <w:sz w:val="16"/>
                          <w:szCs w:val="16"/>
                          <w:lang w:val="fr-FR"/>
                        </w:rPr>
                      </w:pPr>
                      <w:r w:rsidRPr="00816663">
                        <w:rPr>
                          <w:color w:val="01122B"/>
                          <w:sz w:val="16"/>
                          <w:szCs w:val="16"/>
                          <w:lang w:val="fr-FR"/>
                        </w:rPr>
                        <w:t>rome@dejalex.com</w:t>
                      </w:r>
                    </w:p>
                    <w:p w14:paraId="06A7D96E" w14:textId="77777777" w:rsidR="00D84735" w:rsidRPr="00816663" w:rsidRDefault="00D84735" w:rsidP="00D84735">
                      <w:pPr>
                        <w:rPr>
                          <w:color w:val="01122B"/>
                          <w:sz w:val="16"/>
                          <w:szCs w:val="16"/>
                          <w:lang w:val="fr-FR"/>
                        </w:rPr>
                      </w:pPr>
                    </w:p>
                    <w:p w14:paraId="704CFB4B" w14:textId="77777777" w:rsidR="00D84735" w:rsidRPr="00816663" w:rsidRDefault="00D84735" w:rsidP="00D84735">
                      <w:pPr>
                        <w:rPr>
                          <w:color w:val="01122B"/>
                          <w:sz w:val="16"/>
                          <w:szCs w:val="16"/>
                          <w:lang w:val="fr-FR"/>
                        </w:rPr>
                      </w:pPr>
                      <w:r w:rsidRPr="00816663">
                        <w:rPr>
                          <w:color w:val="01122B"/>
                          <w:sz w:val="16"/>
                          <w:szCs w:val="16"/>
                          <w:lang w:val="fr-FR"/>
                        </w:rPr>
                        <w:t>BRUXELLES</w:t>
                      </w:r>
                    </w:p>
                    <w:p w14:paraId="54515E23" w14:textId="77777777" w:rsidR="00D84735" w:rsidRPr="00816663" w:rsidRDefault="00D84735" w:rsidP="00D84735">
                      <w:pPr>
                        <w:rPr>
                          <w:color w:val="01122B"/>
                          <w:sz w:val="16"/>
                          <w:szCs w:val="16"/>
                          <w:lang w:val="fr-FR"/>
                        </w:rPr>
                      </w:pPr>
                      <w:r w:rsidRPr="00816663">
                        <w:rPr>
                          <w:color w:val="01122B"/>
                          <w:sz w:val="16"/>
                          <w:szCs w:val="16"/>
                          <w:lang w:val="fr-FR"/>
                        </w:rPr>
                        <w:t xml:space="preserve">Chaussée de La </w:t>
                      </w:r>
                      <w:proofErr w:type="spellStart"/>
                      <w:r w:rsidRPr="00816663">
                        <w:rPr>
                          <w:color w:val="01122B"/>
                          <w:sz w:val="16"/>
                          <w:szCs w:val="16"/>
                          <w:lang w:val="fr-FR"/>
                        </w:rPr>
                        <w:t>Hulpe</w:t>
                      </w:r>
                      <w:proofErr w:type="spellEnd"/>
                      <w:r w:rsidRPr="00816663">
                        <w:rPr>
                          <w:color w:val="01122B"/>
                          <w:sz w:val="16"/>
                          <w:szCs w:val="16"/>
                          <w:lang w:val="fr-FR"/>
                        </w:rPr>
                        <w:t xml:space="preserve"> 187 · 1170 Bruxelles, Belgique</w:t>
                      </w:r>
                    </w:p>
                    <w:p w14:paraId="50954226" w14:textId="77777777" w:rsidR="00D84735" w:rsidRPr="00816663" w:rsidRDefault="00D84735" w:rsidP="00D84735">
                      <w:pPr>
                        <w:rPr>
                          <w:color w:val="01122B"/>
                          <w:sz w:val="16"/>
                          <w:szCs w:val="16"/>
                          <w:lang w:val="fr-FR"/>
                        </w:rPr>
                      </w:pPr>
                      <w:r w:rsidRPr="00816663">
                        <w:rPr>
                          <w:color w:val="01122B"/>
                          <w:sz w:val="16"/>
                          <w:szCs w:val="16"/>
                          <w:lang w:val="fr-FR"/>
                        </w:rPr>
                        <w:t>T. +32 (0)26455670 · F. +32 (0)27420138</w:t>
                      </w:r>
                    </w:p>
                    <w:p w14:paraId="0917990E" w14:textId="77777777" w:rsidR="00D84735" w:rsidRPr="00816663" w:rsidRDefault="00D84735" w:rsidP="00D84735">
                      <w:pPr>
                        <w:rPr>
                          <w:color w:val="01122B"/>
                          <w:sz w:val="16"/>
                          <w:szCs w:val="16"/>
                          <w:lang w:val="fr-FR"/>
                        </w:rPr>
                      </w:pPr>
                      <w:r w:rsidRPr="00816663">
                        <w:rPr>
                          <w:color w:val="01122B"/>
                          <w:sz w:val="16"/>
                          <w:szCs w:val="16"/>
                          <w:lang w:val="fr-FR"/>
                        </w:rPr>
                        <w:t>brussels@dejalex.com</w:t>
                      </w:r>
                    </w:p>
                    <w:p w14:paraId="69575B1E" w14:textId="77777777" w:rsidR="00D84735" w:rsidRPr="00816663" w:rsidRDefault="00D84735" w:rsidP="00D84735">
                      <w:pPr>
                        <w:rPr>
                          <w:color w:val="01122B"/>
                          <w:sz w:val="16"/>
                          <w:szCs w:val="16"/>
                          <w:lang w:val="fr-FR"/>
                        </w:rPr>
                      </w:pPr>
                    </w:p>
                    <w:p w14:paraId="574F6E1B" w14:textId="77777777" w:rsidR="00D84735" w:rsidRPr="00816663" w:rsidRDefault="00D84735" w:rsidP="00D84735">
                      <w:pPr>
                        <w:rPr>
                          <w:color w:val="01122B"/>
                          <w:sz w:val="16"/>
                          <w:szCs w:val="16"/>
                          <w:lang w:val="fr-FR"/>
                        </w:rPr>
                      </w:pPr>
                      <w:r w:rsidRPr="00816663">
                        <w:rPr>
                          <w:color w:val="01122B"/>
                          <w:sz w:val="16"/>
                          <w:szCs w:val="16"/>
                          <w:lang w:val="fr-FR"/>
                        </w:rPr>
                        <w:t>MOSCOW</w:t>
                      </w:r>
                    </w:p>
                    <w:p w14:paraId="1D3FE457" w14:textId="77777777" w:rsidR="00D84735" w:rsidRPr="00DB41CA" w:rsidRDefault="009376D0" w:rsidP="009376D0">
                      <w:pPr>
                        <w:rPr>
                          <w:color w:val="01122B"/>
                          <w:sz w:val="16"/>
                          <w:szCs w:val="16"/>
                        </w:rPr>
                      </w:pPr>
                      <w:proofErr w:type="spellStart"/>
                      <w:r w:rsidRPr="009376D0">
                        <w:rPr>
                          <w:color w:val="01122B"/>
                          <w:sz w:val="16"/>
                          <w:szCs w:val="16"/>
                        </w:rPr>
                        <w:t>Ulitsa</w:t>
                      </w:r>
                      <w:proofErr w:type="spellEnd"/>
                      <w:r w:rsidRPr="009376D0">
                        <w:rPr>
                          <w:color w:val="01122B"/>
                          <w:sz w:val="16"/>
                          <w:szCs w:val="16"/>
                        </w:rPr>
                        <w:t xml:space="preserve"> </w:t>
                      </w:r>
                      <w:proofErr w:type="spellStart"/>
                      <w:r w:rsidRPr="009376D0">
                        <w:rPr>
                          <w:color w:val="01122B"/>
                          <w:sz w:val="16"/>
                          <w:szCs w:val="16"/>
                        </w:rPr>
                        <w:t>Bolshaya</w:t>
                      </w:r>
                      <w:proofErr w:type="spellEnd"/>
                      <w:r w:rsidRPr="009376D0">
                        <w:rPr>
                          <w:color w:val="01122B"/>
                          <w:sz w:val="16"/>
                          <w:szCs w:val="16"/>
                        </w:rPr>
                        <w:t xml:space="preserve"> </w:t>
                      </w:r>
                      <w:proofErr w:type="spellStart"/>
                      <w:r w:rsidRPr="009376D0">
                        <w:rPr>
                          <w:color w:val="01122B"/>
                          <w:sz w:val="16"/>
                          <w:szCs w:val="16"/>
                        </w:rPr>
                        <w:t>Ordynka</w:t>
                      </w:r>
                      <w:proofErr w:type="spellEnd"/>
                      <w:r w:rsidRPr="009376D0">
                        <w:rPr>
                          <w:color w:val="01122B"/>
                          <w:sz w:val="16"/>
                          <w:szCs w:val="16"/>
                        </w:rPr>
                        <w:t xml:space="preserve"> 37/4</w:t>
                      </w:r>
                      <w:r>
                        <w:rPr>
                          <w:color w:val="01122B"/>
                          <w:sz w:val="16"/>
                          <w:szCs w:val="16"/>
                        </w:rPr>
                        <w:t xml:space="preserve"> </w:t>
                      </w:r>
                      <w:r w:rsidR="00D84735" w:rsidRPr="00DB41CA">
                        <w:rPr>
                          <w:color w:val="01122B"/>
                          <w:sz w:val="16"/>
                          <w:szCs w:val="16"/>
                        </w:rPr>
                        <w:t xml:space="preserve">· </w:t>
                      </w:r>
                      <w:r w:rsidRPr="009376D0">
                        <w:rPr>
                          <w:color w:val="01122B"/>
                          <w:sz w:val="16"/>
                          <w:szCs w:val="16"/>
                        </w:rPr>
                        <w:t>119017</w:t>
                      </w:r>
                      <w:r w:rsidR="00D84735" w:rsidRPr="00DB41CA">
                        <w:rPr>
                          <w:color w:val="01122B"/>
                          <w:sz w:val="16"/>
                          <w:szCs w:val="16"/>
                        </w:rPr>
                        <w:t xml:space="preserve">, </w:t>
                      </w:r>
                      <w:proofErr w:type="spellStart"/>
                      <w:r w:rsidR="00D84735" w:rsidRPr="00DB41CA">
                        <w:rPr>
                          <w:color w:val="01122B"/>
                          <w:sz w:val="16"/>
                          <w:szCs w:val="16"/>
                        </w:rPr>
                        <w:t>Moscow</w:t>
                      </w:r>
                      <w:proofErr w:type="spellEnd"/>
                      <w:r w:rsidR="00D84735" w:rsidRPr="00DB41CA">
                        <w:rPr>
                          <w:color w:val="01122B"/>
                          <w:sz w:val="16"/>
                          <w:szCs w:val="16"/>
                        </w:rPr>
                        <w:t>, Russia</w:t>
                      </w:r>
                    </w:p>
                    <w:p w14:paraId="3727B1FA" w14:textId="77777777" w:rsidR="00D84735" w:rsidRPr="00DB41CA" w:rsidRDefault="00D84735" w:rsidP="00D84735">
                      <w:pPr>
                        <w:rPr>
                          <w:color w:val="01122B"/>
                          <w:sz w:val="16"/>
                          <w:szCs w:val="16"/>
                        </w:rPr>
                      </w:pPr>
                      <w:r w:rsidRPr="00DB41CA">
                        <w:rPr>
                          <w:color w:val="01122B"/>
                          <w:sz w:val="16"/>
                          <w:szCs w:val="16"/>
                        </w:rPr>
                        <w:t>T. +7 495 792 54 92 · F. +7 495 792 54 93</w:t>
                      </w:r>
                    </w:p>
                    <w:p w14:paraId="08E38B88" w14:textId="77777777" w:rsidR="00D84735" w:rsidRPr="009F555A" w:rsidRDefault="00D84735">
                      <w:pPr>
                        <w:rPr>
                          <w:color w:val="01122B"/>
                          <w:sz w:val="16"/>
                          <w:szCs w:val="16"/>
                        </w:rPr>
                      </w:pPr>
                      <w:r w:rsidRPr="009F555A">
                        <w:rPr>
                          <w:color w:val="01122B"/>
                          <w:sz w:val="16"/>
                          <w:szCs w:val="16"/>
                        </w:rPr>
                        <w:t>moscow@dejalex.com</w:t>
                      </w:r>
                    </w:p>
                  </w:txbxContent>
                </v:textbox>
                <w10:wrap anchory="page"/>
              </v:shape>
            </w:pict>
          </mc:Fallback>
        </mc:AlternateContent>
      </w:r>
    </w:p>
    <w:sectPr w:rsidR="00D84735" w:rsidRPr="00A93D00" w:rsidSect="00113CB1">
      <w:type w:val="continuous"/>
      <w:pgSz w:w="11900" w:h="16840"/>
      <w:pgMar w:top="1701" w:right="1134" w:bottom="1331" w:left="2835" w:header="709" w:footer="462" w:gutter="0"/>
      <w:cols w:space="575"/>
      <w:titlePg/>
      <w:docGrid w:linePitch="734"/>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C029" w14:textId="77777777" w:rsidR="0037716C" w:rsidRDefault="0037716C" w:rsidP="0025684A">
      <w:r>
        <w:separator/>
      </w:r>
    </w:p>
  </w:endnote>
  <w:endnote w:type="continuationSeparator" w:id="0">
    <w:p w14:paraId="22B20501" w14:textId="77777777" w:rsidR="0037716C" w:rsidRDefault="0037716C" w:rsidP="0025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altName w:val="Times New Roman"/>
    <w:panose1 w:val="00000500000000000000"/>
    <w:charset w:val="4D"/>
    <w:family w:val="auto"/>
    <w:notTrueType/>
    <w:pitch w:val="variable"/>
    <w:sig w:usb0="00008007" w:usb1="00000000" w:usb2="00000000" w:usb3="00000000" w:csb0="00000093" w:csb1="00000000"/>
  </w:font>
  <w:font w:name="Poppins SemiBold">
    <w:altName w:val="Times New Roman"/>
    <w:panose1 w:val="00000700000000000000"/>
    <w:charset w:val="4D"/>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9031" w14:textId="77777777" w:rsidR="00C90292" w:rsidRDefault="00C90292" w:rsidP="00961453">
    <w:pPr>
      <w:pStyle w:val="Pidipagina"/>
      <w:framePr w:wrap="none"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667DE5" w14:textId="77777777" w:rsidR="00C90292" w:rsidRDefault="00C90292" w:rsidP="00C90292">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BC1B" w14:textId="77777777" w:rsidR="009D10B3" w:rsidRDefault="009D10B3" w:rsidP="00C90292">
    <w:pPr>
      <w:ind w:left="1701" w:firstLine="360"/>
      <w:jc w:val="right"/>
      <w:rPr>
        <w:rFonts w:cs="Times New Roman"/>
        <w:szCs w:val="15"/>
        <w:lang w:val="en-US" w:eastAsia="it-IT"/>
      </w:rPr>
    </w:pPr>
  </w:p>
  <w:p w14:paraId="74BA39A9" w14:textId="77777777" w:rsidR="009D10B3" w:rsidRDefault="007D6D0A" w:rsidP="00A93D00">
    <w:pPr>
      <w:ind w:left="1701"/>
      <w:jc w:val="right"/>
      <w:rPr>
        <w:rFonts w:cs="Times New Roman"/>
        <w:szCs w:val="15"/>
        <w:lang w:val="en-US" w:eastAsia="it-IT"/>
      </w:rPr>
    </w:pPr>
    <w:r>
      <w:rPr>
        <w:noProof/>
        <w:lang w:eastAsia="it-IT"/>
      </w:rPr>
      <w:drawing>
        <wp:anchor distT="0" distB="0" distL="114300" distR="114300" simplePos="0" relativeHeight="251658240" behindDoc="0" locked="0" layoutInCell="1" allowOverlap="1" wp14:anchorId="6976AB35" wp14:editId="08930479">
          <wp:simplePos x="0" y="0"/>
          <wp:positionH relativeFrom="column">
            <wp:posOffset>4602480</wp:posOffset>
          </wp:positionH>
          <wp:positionV relativeFrom="paragraph">
            <wp:posOffset>39363</wp:posOffset>
          </wp:positionV>
          <wp:extent cx="427050" cy="93600"/>
          <wp:effectExtent l="0" t="0" r="508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edGraphic-1.png"/>
                  <pic:cNvPicPr/>
                </pic:nvPicPr>
                <pic:blipFill>
                  <a:blip r:embed="rId1">
                    <a:extLst>
                      <a:ext uri="{28A0092B-C50C-407E-A947-70E740481C1C}">
                        <a14:useLocalDpi xmlns:a14="http://schemas.microsoft.com/office/drawing/2010/main" val="0"/>
                      </a:ext>
                    </a:extLst>
                  </a:blip>
                  <a:stretch>
                    <a:fillRect/>
                  </a:stretch>
                </pic:blipFill>
                <pic:spPr>
                  <a:xfrm>
                    <a:off x="0" y="0"/>
                    <a:ext cx="427050" cy="93600"/>
                  </a:xfrm>
                  <a:prstGeom prst="rect">
                    <a:avLst/>
                  </a:prstGeom>
                </pic:spPr>
              </pic:pic>
            </a:graphicData>
          </a:graphic>
          <wp14:sizeRelH relativeFrom="page">
            <wp14:pctWidth>0</wp14:pctWidth>
          </wp14:sizeRelH>
          <wp14:sizeRelV relativeFrom="page">
            <wp14:pctHeight>0</wp14:pctHeight>
          </wp14:sizeRelV>
        </wp:anchor>
      </w:drawing>
    </w:r>
  </w:p>
  <w:p w14:paraId="27431124" w14:textId="77777777" w:rsidR="006570C1" w:rsidRDefault="006570C1" w:rsidP="00A93D00">
    <w:pPr>
      <w:ind w:left="1701"/>
      <w:jc w:val="right"/>
      <w:rPr>
        <w:rFonts w:cs="Times New Roman"/>
        <w:szCs w:val="15"/>
        <w:lang w:val="en-US" w:eastAsia="it-IT"/>
      </w:rPr>
    </w:pPr>
  </w:p>
  <w:p w14:paraId="52F55896" w14:textId="77777777" w:rsidR="001549B4" w:rsidRPr="00410D24" w:rsidRDefault="001549B4" w:rsidP="001549B4">
    <w:pPr>
      <w:pStyle w:val="Pidipagina"/>
      <w:framePr w:wrap="none" w:vAnchor="text" w:hAnchor="page" w:x="2902" w:y="115"/>
      <w:rPr>
        <w:rStyle w:val="Numeropagina"/>
        <w:color w:val="0B2657"/>
      </w:rPr>
    </w:pPr>
    <w:r w:rsidRPr="00410D24">
      <w:rPr>
        <w:rStyle w:val="Numeropagina"/>
        <w:color w:val="0B2657"/>
      </w:rPr>
      <w:fldChar w:fldCharType="begin"/>
    </w:r>
    <w:r w:rsidRPr="00410D24">
      <w:rPr>
        <w:rStyle w:val="Numeropagina"/>
        <w:color w:val="0B2657"/>
      </w:rPr>
      <w:instrText xml:space="preserve">PAGE  </w:instrText>
    </w:r>
    <w:r w:rsidRPr="00410D24">
      <w:rPr>
        <w:rStyle w:val="Numeropagina"/>
        <w:color w:val="0B2657"/>
      </w:rPr>
      <w:fldChar w:fldCharType="separate"/>
    </w:r>
    <w:r w:rsidR="00CC2FF5">
      <w:rPr>
        <w:rStyle w:val="Numeropagina"/>
        <w:noProof/>
        <w:color w:val="0B2657"/>
      </w:rPr>
      <w:t>3</w:t>
    </w:r>
    <w:r w:rsidRPr="00410D24">
      <w:rPr>
        <w:rStyle w:val="Numeropagina"/>
        <w:color w:val="0B2657"/>
      </w:rPr>
      <w:fldChar w:fldCharType="end"/>
    </w:r>
  </w:p>
  <w:p w14:paraId="29544969" w14:textId="77777777" w:rsidR="0025684A" w:rsidRPr="009F555A" w:rsidRDefault="0025684A" w:rsidP="00A93D00">
    <w:pPr>
      <w:ind w:left="1701"/>
      <w:jc w:val="right"/>
      <w:rPr>
        <w:rFonts w:cs="Times New Roman"/>
        <w:color w:val="01122B"/>
        <w:szCs w:val="15"/>
        <w:lang w:val="en-US" w:eastAsia="it-IT"/>
      </w:rPr>
    </w:pPr>
    <w:r w:rsidRPr="009F555A">
      <w:rPr>
        <w:rFonts w:cs="Times New Roman"/>
        <w:color w:val="01122B"/>
        <w:szCs w:val="15"/>
        <w:lang w:val="en-US" w:eastAsia="it-IT"/>
      </w:rPr>
      <w:t>www.dejalex.com</w:t>
    </w:r>
  </w:p>
  <w:p w14:paraId="21910F99" w14:textId="77777777" w:rsidR="0025684A" w:rsidRDefault="002568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C588" w14:textId="77777777" w:rsidR="009D10B3" w:rsidRDefault="009D10B3" w:rsidP="009D10B3">
    <w:pPr>
      <w:jc w:val="right"/>
      <w:rPr>
        <w:rFonts w:cs="Times New Roman"/>
        <w:szCs w:val="15"/>
        <w:lang w:val="en-US" w:eastAsia="it-IT"/>
      </w:rPr>
    </w:pPr>
  </w:p>
  <w:p w14:paraId="5917A5BB" w14:textId="77777777" w:rsidR="009D10B3" w:rsidRDefault="007D6D0A" w:rsidP="009D10B3">
    <w:pPr>
      <w:jc w:val="right"/>
      <w:rPr>
        <w:rFonts w:cs="Times New Roman"/>
        <w:szCs w:val="15"/>
        <w:lang w:val="en-US" w:eastAsia="it-IT"/>
      </w:rPr>
    </w:pPr>
    <w:r>
      <w:rPr>
        <w:noProof/>
        <w:lang w:eastAsia="it-IT"/>
      </w:rPr>
      <w:drawing>
        <wp:anchor distT="0" distB="0" distL="114300" distR="114300" simplePos="0" relativeHeight="251660288" behindDoc="0" locked="0" layoutInCell="1" allowOverlap="1" wp14:anchorId="0B1F3EDF" wp14:editId="48BBAB3B">
          <wp:simplePos x="0" y="0"/>
          <wp:positionH relativeFrom="column">
            <wp:posOffset>4599305</wp:posOffset>
          </wp:positionH>
          <wp:positionV relativeFrom="paragraph">
            <wp:posOffset>43801</wp:posOffset>
          </wp:positionV>
          <wp:extent cx="427050" cy="93600"/>
          <wp:effectExtent l="0" t="0" r="508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edGraphic-1.png"/>
                  <pic:cNvPicPr/>
                </pic:nvPicPr>
                <pic:blipFill>
                  <a:blip r:embed="rId1">
                    <a:extLst>
                      <a:ext uri="{28A0092B-C50C-407E-A947-70E740481C1C}">
                        <a14:useLocalDpi xmlns:a14="http://schemas.microsoft.com/office/drawing/2010/main" val="0"/>
                      </a:ext>
                    </a:extLst>
                  </a:blip>
                  <a:stretch>
                    <a:fillRect/>
                  </a:stretch>
                </pic:blipFill>
                <pic:spPr>
                  <a:xfrm>
                    <a:off x="0" y="0"/>
                    <a:ext cx="427050" cy="93600"/>
                  </a:xfrm>
                  <a:prstGeom prst="rect">
                    <a:avLst/>
                  </a:prstGeom>
                </pic:spPr>
              </pic:pic>
            </a:graphicData>
          </a:graphic>
          <wp14:sizeRelH relativeFrom="page">
            <wp14:pctWidth>0</wp14:pctWidth>
          </wp14:sizeRelH>
          <wp14:sizeRelV relativeFrom="page">
            <wp14:pctHeight>0</wp14:pctHeight>
          </wp14:sizeRelV>
        </wp:anchor>
      </w:drawing>
    </w:r>
  </w:p>
  <w:p w14:paraId="7B3DE107" w14:textId="77777777" w:rsidR="009D10B3" w:rsidRDefault="009D10B3" w:rsidP="009D10B3">
    <w:pPr>
      <w:jc w:val="right"/>
      <w:rPr>
        <w:rFonts w:cs="Times New Roman"/>
        <w:szCs w:val="15"/>
        <w:lang w:val="en-US" w:eastAsia="it-IT"/>
      </w:rPr>
    </w:pPr>
  </w:p>
  <w:p w14:paraId="0FEED18B" w14:textId="77777777" w:rsidR="009D10B3" w:rsidRPr="009F555A" w:rsidRDefault="009D10B3" w:rsidP="00AA4DCE">
    <w:pPr>
      <w:pStyle w:val="www"/>
      <w:rPr>
        <w:color w:val="01122B"/>
      </w:rPr>
    </w:pPr>
    <w:r w:rsidRPr="009F555A">
      <w:rPr>
        <w:color w:val="01122B"/>
      </w:rPr>
      <w:t>www.dejalex.com</w:t>
    </w:r>
  </w:p>
  <w:p w14:paraId="57E968AF" w14:textId="77777777" w:rsidR="0025684A" w:rsidRDefault="00256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6170" w14:textId="77777777" w:rsidR="0037716C" w:rsidRPr="00B3383C" w:rsidRDefault="0037716C" w:rsidP="00C5307C">
      <w:pPr>
        <w:ind w:right="-4260"/>
        <w:rPr>
          <w:color w:val="E72A7A"/>
        </w:rPr>
      </w:pPr>
      <w:r w:rsidRPr="00B3383C">
        <w:rPr>
          <w:color w:val="E72A7A"/>
        </w:rPr>
        <w:separator/>
      </w:r>
      <w:r w:rsidRPr="00B3383C">
        <w:rPr>
          <w:color w:val="E72A7A"/>
        </w:rPr>
        <w:separator/>
      </w:r>
      <w:r w:rsidRPr="00B3383C">
        <w:rPr>
          <w:color w:val="E72A7A"/>
        </w:rPr>
        <w:separator/>
      </w:r>
    </w:p>
    <w:p w14:paraId="1914BCC3" w14:textId="77777777" w:rsidR="0037716C" w:rsidRPr="00B3383C" w:rsidRDefault="0037716C" w:rsidP="00B3383C">
      <w:pPr>
        <w:rPr>
          <w:color w:val="E72A7A"/>
        </w:rPr>
      </w:pPr>
    </w:p>
    <w:p w14:paraId="4B9A4BB9" w14:textId="77777777" w:rsidR="0037716C" w:rsidRPr="00B3383C" w:rsidRDefault="0037716C" w:rsidP="0025684A">
      <w:pPr>
        <w:rPr>
          <w:color w:val="E72A7A"/>
        </w:rPr>
      </w:pPr>
    </w:p>
  </w:footnote>
  <w:footnote w:type="continuationSeparator" w:id="0">
    <w:p w14:paraId="382AB327" w14:textId="77777777" w:rsidR="0037716C" w:rsidRPr="00C5307C" w:rsidRDefault="0037716C" w:rsidP="0025684A">
      <w:pPr>
        <w:rPr>
          <w:color w:val="E72A7A"/>
          <w14:textOutline w14:w="0" w14:cap="rnd" w14:cmpd="sng" w14:algn="ctr">
            <w14:noFill/>
            <w14:prstDash w14:val="solid"/>
            <w14:round/>
          </w14:textOutline>
        </w:rPr>
      </w:pPr>
      <w:r w:rsidRPr="00C5307C">
        <w:rPr>
          <w:color w:val="E72A7A"/>
          <w14:textOutline w14:w="0" w14:cap="rnd" w14:cmpd="sng" w14:algn="ctr">
            <w14:noFill/>
            <w14:prstDash w14:val="solid"/>
            <w14:round/>
          </w14:textOutline>
        </w:rPr>
        <w:continuationSeparator/>
      </w:r>
    </w:p>
  </w:footnote>
  <w:footnote w:type="continuationNotice" w:id="1">
    <w:p w14:paraId="653EC465" w14:textId="77777777" w:rsidR="0037716C" w:rsidRDefault="0037716C"/>
  </w:footnote>
  <w:footnote w:id="2">
    <w:p w14:paraId="714D4C83" w14:textId="77777777" w:rsidR="00CC2FF5" w:rsidRPr="00CC2FF5" w:rsidRDefault="00CC2FF5" w:rsidP="00CC2FF5">
      <w:pPr>
        <w:pStyle w:val="Testonotaapidipagina"/>
        <w:jc w:val="both"/>
        <w:rPr>
          <w:rFonts w:cs="Arial"/>
          <w:color w:val="0C2340"/>
          <w:sz w:val="18"/>
          <w:szCs w:val="18"/>
        </w:rPr>
      </w:pPr>
      <w:r w:rsidRPr="00CC2FF5">
        <w:rPr>
          <w:rStyle w:val="Rimandonotaapidipagina"/>
          <w:rFonts w:cs="Arial"/>
          <w:color w:val="0C2340"/>
          <w:sz w:val="18"/>
          <w:szCs w:val="18"/>
        </w:rPr>
        <w:footnoteRef/>
      </w:r>
      <w:r w:rsidRPr="00CC2FF5">
        <w:rPr>
          <w:rFonts w:cs="Arial"/>
          <w:color w:val="0C2340"/>
          <w:sz w:val="18"/>
          <w:szCs w:val="18"/>
        </w:rPr>
        <w:t xml:space="preserve"> </w:t>
      </w:r>
      <w:r w:rsidRPr="00CC2FF5">
        <w:rPr>
          <w:rFonts w:cs="Arial"/>
          <w:bCs/>
          <w:color w:val="0C2340"/>
          <w:sz w:val="18"/>
          <w:szCs w:val="18"/>
        </w:rPr>
        <w:t xml:space="preserve">Direttiva 2013/36/UE del Parlamento europeo e del Consiglio, del 26 giugno 2013, sull'accesso all'attività degli enti creditizi e sulla vigilanza prudenziale sugli enti creditizi e sulle imprese di investimento, che modifica la direttiva 2002/87/CE e abroga le direttive 2006/48/CE e 2006/49/CE, </w:t>
      </w:r>
      <w:r w:rsidRPr="00CC2FF5">
        <w:rPr>
          <w:rStyle w:val="Enfasicorsivo"/>
          <w:rFonts w:cs="Arial"/>
          <w:i w:val="0"/>
          <w:color w:val="0C2340"/>
          <w:sz w:val="18"/>
          <w:szCs w:val="18"/>
        </w:rPr>
        <w:t>GUUE L 176 del 27.06.2013. L’</w:t>
      </w:r>
      <w:r w:rsidRPr="00CC2FF5">
        <w:rPr>
          <w:rFonts w:cs="Arial"/>
          <w:iCs/>
          <w:color w:val="0C2340"/>
          <w:sz w:val="18"/>
          <w:szCs w:val="18"/>
        </w:rPr>
        <w:t>articolo 142 della Direttiva, intitolato “</w:t>
      </w:r>
      <w:r w:rsidRPr="00CC2FF5">
        <w:rPr>
          <w:rFonts w:cs="Arial"/>
          <w:bCs/>
          <w:color w:val="0C2340"/>
          <w:sz w:val="18"/>
          <w:szCs w:val="18"/>
        </w:rPr>
        <w:t>Piano di conservazione del capitale”, al paragrafo 1 dispone: “</w:t>
      </w:r>
      <w:r w:rsidRPr="00CC2FF5">
        <w:rPr>
          <w:rFonts w:cs="Arial"/>
          <w:bCs/>
          <w:i/>
          <w:color w:val="0C2340"/>
          <w:sz w:val="18"/>
          <w:szCs w:val="18"/>
        </w:rPr>
        <w:t xml:space="preserve">... </w:t>
      </w:r>
      <w:r w:rsidRPr="00CC2FF5">
        <w:rPr>
          <w:rFonts w:cs="Arial"/>
          <w:i/>
          <w:color w:val="0C2340"/>
          <w:sz w:val="18"/>
          <w:szCs w:val="18"/>
        </w:rPr>
        <w:t>Nel caso in cui non soddisfi il requisito combinato di riserva di capitale, un ente elabora un piano di conservazione del capitale e lo trasmette all'autorità competente entro cinque giorni lavorativi dalla data in cui ha accertato il mancato rispetto del requisito, a meno che l'autorità competente non autorizzi un termine più lungo fino a dieci giorni. BIS Le autorità competenti concedono tale autorizzazione solo sulla base della situazione individuale di un ente creditizio, tenendo conto delle dimensioni e della complessità delle attività dell'ente in questione...</w:t>
      </w:r>
      <w:r w:rsidRPr="00CC2FF5">
        <w:rPr>
          <w:rFonts w:cs="Arial"/>
          <w:color w:val="0C2340"/>
          <w:sz w:val="18"/>
          <w:szCs w:val="18"/>
        </w:rPr>
        <w:t>”.</w:t>
      </w:r>
    </w:p>
  </w:footnote>
  <w:footnote w:id="3">
    <w:p w14:paraId="3D7D43C9" w14:textId="77777777" w:rsidR="00CC2FF5" w:rsidRPr="00CC2FF5" w:rsidRDefault="00CC2FF5" w:rsidP="00CC2FF5">
      <w:pPr>
        <w:pStyle w:val="Testonotaapidipagina"/>
        <w:jc w:val="both"/>
        <w:rPr>
          <w:rFonts w:cs="Arial"/>
          <w:color w:val="0C2340"/>
          <w:sz w:val="18"/>
          <w:szCs w:val="18"/>
        </w:rPr>
      </w:pPr>
      <w:r w:rsidRPr="00CC2FF5">
        <w:rPr>
          <w:rStyle w:val="Rimandonotaapidipagina"/>
          <w:rFonts w:cs="Arial"/>
          <w:color w:val="0C2340"/>
          <w:sz w:val="18"/>
          <w:szCs w:val="18"/>
        </w:rPr>
        <w:footnoteRef/>
      </w:r>
      <w:r w:rsidRPr="00CC2FF5">
        <w:rPr>
          <w:rFonts w:cs="Arial"/>
          <w:color w:val="0C2340"/>
          <w:sz w:val="18"/>
          <w:szCs w:val="18"/>
        </w:rPr>
        <w:t xml:space="preserve"> </w:t>
      </w:r>
      <w:r w:rsidRPr="00CC2FF5">
        <w:rPr>
          <w:rFonts w:eastAsia="Times New Roman" w:cs="Arial"/>
          <w:color w:val="0C2340"/>
          <w:sz w:val="18"/>
          <w:szCs w:val="18"/>
          <w:lang w:eastAsia="it-IT"/>
        </w:rPr>
        <w:t>Decreto legislativo</w:t>
      </w:r>
      <w:r w:rsidRPr="00495307">
        <w:rPr>
          <w:rFonts w:eastAsia="Times New Roman" w:cs="Arial"/>
          <w:color w:val="0C2340"/>
          <w:sz w:val="18"/>
          <w:szCs w:val="18"/>
          <w:lang w:eastAsia="it-IT"/>
        </w:rPr>
        <w:t xml:space="preserve"> 1 settembre 1993, n. 385</w:t>
      </w:r>
      <w:r w:rsidRPr="00CC2FF5">
        <w:rPr>
          <w:rFonts w:eastAsia="Times New Roman" w:cs="Arial"/>
          <w:color w:val="0C2340"/>
          <w:sz w:val="18"/>
          <w:szCs w:val="18"/>
          <w:lang w:eastAsia="it-IT"/>
        </w:rPr>
        <w:t>, </w:t>
      </w:r>
      <w:r w:rsidRPr="00495307">
        <w:rPr>
          <w:rFonts w:eastAsia="Times New Roman" w:cs="Arial"/>
          <w:color w:val="0C2340"/>
          <w:sz w:val="18"/>
          <w:szCs w:val="18"/>
          <w:lang w:eastAsia="it-IT"/>
        </w:rPr>
        <w:t>Testo unico delle leggi i</w:t>
      </w:r>
      <w:r w:rsidRPr="00CC2FF5">
        <w:rPr>
          <w:rFonts w:eastAsia="Times New Roman" w:cs="Arial"/>
          <w:color w:val="0C2340"/>
          <w:sz w:val="18"/>
          <w:szCs w:val="18"/>
          <w:lang w:eastAsia="it-IT"/>
        </w:rPr>
        <w:t xml:space="preserve">n materia bancaria e creditizia, GU n.230 del 30.09.1993. </w:t>
      </w:r>
      <w:r w:rsidRPr="00CC2FF5">
        <w:rPr>
          <w:rFonts w:cs="Arial"/>
          <w:color w:val="0C2340"/>
          <w:sz w:val="18"/>
          <w:szCs w:val="18"/>
        </w:rPr>
        <w:t>L’articolo 70 del Decreto, intitolato “Provvedimento”, al comma 1 dispone: “</w:t>
      </w:r>
      <w:r w:rsidRPr="00CC2FF5">
        <w:rPr>
          <w:rFonts w:cs="Arial"/>
          <w:i/>
          <w:color w:val="0C2340"/>
          <w:sz w:val="18"/>
          <w:szCs w:val="18"/>
        </w:rPr>
        <w:t>... La Banca d’Italia può disporre lo scioglimento degli organi con funzioni di amministrazione e di controllo delle banche quando ricorrono le violazioni o le irregolarità di cui all’articolo 69-octiesdecies, comma 1, lettera b), oppure sono previste gravi perdite del patrimonio ovvero quando lo scioglimento è richiesto con istanza motivata dagli organi amministrativi ovvero dall’assemblea straordinaria...</w:t>
      </w:r>
      <w:r w:rsidRPr="00CC2FF5">
        <w:rPr>
          <w:rFonts w:cs="Arial"/>
          <w:color w:val="0C2340"/>
          <w:sz w:val="18"/>
          <w:szCs w:val="18"/>
        </w:rPr>
        <w:t>”.</w:t>
      </w:r>
    </w:p>
  </w:footnote>
  <w:footnote w:id="4">
    <w:p w14:paraId="099E5C27" w14:textId="77777777" w:rsidR="00CC2FF5" w:rsidRPr="00CC2FF5" w:rsidRDefault="00CC2FF5" w:rsidP="00CC2FF5">
      <w:pPr>
        <w:pStyle w:val="Testonotaapidipagina"/>
        <w:jc w:val="both"/>
        <w:rPr>
          <w:rFonts w:cs="Arial"/>
          <w:color w:val="0C2340"/>
          <w:sz w:val="18"/>
          <w:szCs w:val="18"/>
        </w:rPr>
      </w:pPr>
      <w:r w:rsidRPr="00CC2FF5">
        <w:rPr>
          <w:rStyle w:val="Rimandonotaapidipagina"/>
          <w:rFonts w:cs="Arial"/>
          <w:color w:val="0C2340"/>
          <w:sz w:val="18"/>
          <w:szCs w:val="18"/>
        </w:rPr>
        <w:footnoteRef/>
      </w:r>
      <w:r w:rsidRPr="00CC2FF5">
        <w:rPr>
          <w:rFonts w:cs="Arial"/>
          <w:color w:val="0C2340"/>
          <w:sz w:val="18"/>
          <w:szCs w:val="18"/>
        </w:rPr>
        <w:t xml:space="preserve"> </w:t>
      </w:r>
      <w:r w:rsidRPr="00CC2FF5">
        <w:rPr>
          <w:rFonts w:cs="Arial"/>
          <w:bCs/>
          <w:color w:val="0C2340"/>
          <w:sz w:val="18"/>
          <w:szCs w:val="18"/>
        </w:rPr>
        <w:t xml:space="preserve">Direttiva 2014/59/UE del Parlamento europeo e del Consiglio, del 15 maggio 2014, che istituisce un quadro di risanamento e risoluzione degli enti creditizi e delle imprese di investimento e che modifica la direttiva 82/891/CEE del Consiglio, e le direttive 2001/24/CE, 2002/47/CE, 2004/25/CE, 2005/56/CE, 2007/36/CE, 2011/35/UE, 2012/30/UE e 2013/36/UE e i regolamenti (UE) n. 1093/2010 e (UE) n. 648/2012, del Parlamento europeo e del Consiglio, </w:t>
      </w:r>
      <w:r w:rsidRPr="00CC2FF5">
        <w:rPr>
          <w:rStyle w:val="Enfasicorsivo"/>
          <w:rFonts w:cs="Arial"/>
          <w:i w:val="0"/>
          <w:color w:val="0C2340"/>
          <w:sz w:val="18"/>
          <w:szCs w:val="18"/>
        </w:rPr>
        <w:t>GUUE L 173 del 12.06.2014. L’</w:t>
      </w:r>
      <w:r w:rsidRPr="00CC2FF5">
        <w:rPr>
          <w:rFonts w:cs="Arial"/>
          <w:iCs/>
          <w:color w:val="0C2340"/>
          <w:sz w:val="18"/>
          <w:szCs w:val="18"/>
        </w:rPr>
        <w:t>articolo 29 della Direttiva, intitolato “</w:t>
      </w:r>
      <w:r w:rsidRPr="00CC2FF5">
        <w:rPr>
          <w:rFonts w:cs="Arial"/>
          <w:bCs/>
          <w:color w:val="0C2340"/>
          <w:sz w:val="18"/>
          <w:szCs w:val="18"/>
        </w:rPr>
        <w:t>Amministratore temporaneo”, al paragrafo 1 dispone: “</w:t>
      </w:r>
      <w:r w:rsidRPr="00CC2FF5">
        <w:rPr>
          <w:rFonts w:cs="Arial"/>
          <w:bCs/>
          <w:i/>
          <w:color w:val="0C2340"/>
          <w:sz w:val="18"/>
          <w:szCs w:val="18"/>
        </w:rPr>
        <w:t xml:space="preserve">... </w:t>
      </w:r>
      <w:r w:rsidRPr="00CC2FF5">
        <w:rPr>
          <w:rFonts w:cs="Arial"/>
          <w:i/>
          <w:color w:val="0C2340"/>
          <w:sz w:val="18"/>
          <w:szCs w:val="18"/>
        </w:rPr>
        <w:t>Gli Stati membri provvedono a che le autorità competenti possano nominare uno o più amministratori temporanei dell’ente, qualora la sostituzione dell’alta dirigenza o dell’organo di amministrazione ai sensi dell’articolo 28 sia ritenuta insufficiente da parte dell’autorità competente per porre rimedio alla situazione. Secondo un principio di proporzionalità e in base alle circostanze, le autorità competenti possono nominare un amministratore temporaneo in sostituzione temporanea dell’organo di amministrazione dell’ente, ovvero in affiancamento temporaneo all’organo di amministrazione stesso, specificando la propria decisione all’atto della nomina. Se nomina un amministratore temporaneo da affiancare all’organo di amministrazione dell’ente, l’autorità competente ne specifica all’atto della nomina ruolo, doveri e poteri unitamente a eventuali obblighi dell’organo di amministrazione dell’ente di consultarsi con l’amministratore temporaneo, o di ottenerne il consenso, prima di assumere specifiche decisioni o iniziative. L’autorità competente è tenuta a rendere pubblica la nomina dell’amministratore temporaneo, salvo quando quest’ultimo non ha il potere di rappresentare l’ente. Gli Stati membri assicurano inoltre che gli amministratori temporanei possiedano le qualifiche, le capacità e le conoscenze necessarie per svolgere le loro funzioni, e siano esenti da qualsiasi conflitto di interessi...</w:t>
      </w:r>
      <w:r w:rsidRPr="00CC2FF5">
        <w:rPr>
          <w:rFonts w:cs="Arial"/>
          <w:color w:val="0C2340"/>
          <w:sz w:val="18"/>
          <w:szCs w:val="18"/>
        </w:rPr>
        <w:t>”.</w:t>
      </w:r>
    </w:p>
  </w:footnote>
  <w:footnote w:id="5">
    <w:p w14:paraId="1B41E763" w14:textId="77777777" w:rsidR="00CC2FF5" w:rsidRPr="00CC2FF5" w:rsidRDefault="00CC2FF5" w:rsidP="00CC2FF5">
      <w:pPr>
        <w:pStyle w:val="Testonotaapidipagina"/>
        <w:jc w:val="both"/>
        <w:rPr>
          <w:rFonts w:cs="Arial"/>
          <w:i/>
          <w:color w:val="0C2340"/>
          <w:sz w:val="18"/>
          <w:szCs w:val="18"/>
        </w:rPr>
      </w:pPr>
      <w:r w:rsidRPr="00CC2FF5">
        <w:rPr>
          <w:rStyle w:val="Rimandonotaapidipagina"/>
          <w:rFonts w:cs="Arial"/>
          <w:color w:val="0C2340"/>
          <w:sz w:val="18"/>
          <w:szCs w:val="18"/>
        </w:rPr>
        <w:footnoteRef/>
      </w:r>
      <w:r w:rsidRPr="00CC2FF5">
        <w:rPr>
          <w:rFonts w:cs="Arial"/>
          <w:color w:val="0C2340"/>
          <w:sz w:val="18"/>
          <w:szCs w:val="18"/>
        </w:rPr>
        <w:t xml:space="preserve"> L’articolo 69-octiesdecies del testo unico bancario, intitolato “Presupposti”, al comma 1</w:t>
      </w:r>
      <w:r w:rsidRPr="00723DA3">
        <w:rPr>
          <w:rFonts w:cs="Arial"/>
          <w:color w:val="0C2340"/>
          <w:sz w:val="18"/>
          <w:szCs w:val="18"/>
          <w:lang w:eastAsia="it-IT"/>
        </w:rPr>
        <w:t xml:space="preserve"> lettera b)</w:t>
      </w:r>
      <w:r w:rsidRPr="00CC2FF5">
        <w:rPr>
          <w:rFonts w:cs="Arial"/>
          <w:color w:val="0C2340"/>
          <w:sz w:val="18"/>
          <w:szCs w:val="18"/>
        </w:rPr>
        <w:t xml:space="preserve"> dispone: “</w:t>
      </w:r>
      <w:r w:rsidRPr="00CC2FF5">
        <w:rPr>
          <w:rFonts w:cs="Arial"/>
          <w:i/>
          <w:color w:val="0C2340"/>
          <w:sz w:val="18"/>
          <w:szCs w:val="18"/>
        </w:rPr>
        <w:t>... La Banca d’Italia può disporre le seguenti misure nei confronti di una banca, una capogruppo italiana di un gruppo bancario o una delle società indicate all’articolo 69.2:</w:t>
      </w:r>
    </w:p>
    <w:p w14:paraId="4A5682AD" w14:textId="77777777" w:rsidR="00CC2FF5" w:rsidRPr="00CC2FF5" w:rsidRDefault="00CC2FF5" w:rsidP="00CC2FF5">
      <w:pPr>
        <w:pStyle w:val="Testonotaapidipagina"/>
        <w:jc w:val="both"/>
        <w:rPr>
          <w:rFonts w:cs="Arial"/>
          <w:i/>
          <w:color w:val="0C2340"/>
          <w:sz w:val="18"/>
          <w:szCs w:val="18"/>
        </w:rPr>
      </w:pPr>
      <w:r w:rsidRPr="00CC2FF5">
        <w:rPr>
          <w:rFonts w:cs="Arial"/>
          <w:i/>
          <w:color w:val="0C2340"/>
          <w:sz w:val="18"/>
          <w:szCs w:val="18"/>
        </w:rPr>
        <w:t>(...)</w:t>
      </w:r>
    </w:p>
    <w:p w14:paraId="73E00C26" w14:textId="77777777" w:rsidR="00CC2FF5" w:rsidRPr="00CC2FF5" w:rsidRDefault="00CC2FF5" w:rsidP="00CC2FF5">
      <w:pPr>
        <w:pStyle w:val="Testonotaapidipagina"/>
        <w:jc w:val="both"/>
        <w:rPr>
          <w:rFonts w:cs="Arial"/>
          <w:color w:val="0C2340"/>
          <w:sz w:val="18"/>
          <w:szCs w:val="18"/>
        </w:rPr>
      </w:pPr>
      <w:r w:rsidRPr="00CC2FF5">
        <w:rPr>
          <w:rFonts w:cs="Arial"/>
          <w:i/>
          <w:color w:val="0C2340"/>
          <w:sz w:val="18"/>
          <w:szCs w:val="18"/>
        </w:rPr>
        <w:t>b) la rimozione degli esponenti di cui all’articolo 69-vicies-semel, quando risultano gravi violazioni di disposizioni legislative, regolamentari o statutarie o gravi irregolarità nell’amministrazione ovvero quando il deterioramento della situazione della banca o del gruppo bancario sia particolarmente significativo, e sempre che gli interventi indicati nella lettera a) o quelli previsti negli articoli 53-bis e 67-ter non siano sufficienti per porre rimedio alla situazione...</w:t>
      </w:r>
      <w:r w:rsidRPr="00CC2FF5">
        <w:rPr>
          <w:rFonts w:cs="Arial"/>
          <w:color w:val="0C2340"/>
          <w:sz w:val="18"/>
          <w:szCs w:val="18"/>
        </w:rPr>
        <w:t>”.</w:t>
      </w:r>
    </w:p>
  </w:footnote>
  <w:footnote w:id="6">
    <w:p w14:paraId="753EFDD2" w14:textId="77777777" w:rsidR="00CC2FF5" w:rsidRPr="00CC2FF5" w:rsidRDefault="00CC2FF5" w:rsidP="00CC2FF5">
      <w:pPr>
        <w:pStyle w:val="Testonotaapidipagina"/>
        <w:jc w:val="both"/>
        <w:rPr>
          <w:rFonts w:cs="Arial"/>
          <w:color w:val="0C2340"/>
          <w:sz w:val="18"/>
          <w:szCs w:val="18"/>
        </w:rPr>
      </w:pPr>
      <w:r w:rsidRPr="00CC2FF5">
        <w:rPr>
          <w:rStyle w:val="Rimandonotaapidipagina"/>
          <w:rFonts w:cs="Arial"/>
          <w:color w:val="0C2340"/>
          <w:sz w:val="18"/>
          <w:szCs w:val="18"/>
        </w:rPr>
        <w:footnoteRef/>
      </w:r>
      <w:r w:rsidRPr="00CC2FF5">
        <w:rPr>
          <w:rFonts w:cs="Arial"/>
          <w:color w:val="0C2340"/>
          <w:sz w:val="18"/>
          <w:szCs w:val="18"/>
        </w:rPr>
        <w:t xml:space="preserve"> </w:t>
      </w:r>
      <w:r w:rsidRPr="00CC2FF5">
        <w:rPr>
          <w:rFonts w:cs="Arial"/>
          <w:iCs/>
          <w:color w:val="0C2340"/>
          <w:sz w:val="18"/>
          <w:szCs w:val="18"/>
        </w:rPr>
        <w:t xml:space="preserve">L’articolo 28 </w:t>
      </w:r>
      <w:r w:rsidRPr="00CC2FF5">
        <w:rPr>
          <w:rFonts w:cs="Arial"/>
          <w:color w:val="0C2340"/>
          <w:sz w:val="18"/>
          <w:szCs w:val="18"/>
          <w:lang w:eastAsia="it-IT"/>
        </w:rPr>
        <w:t>della D</w:t>
      </w:r>
      <w:r w:rsidRPr="00723DA3">
        <w:rPr>
          <w:rFonts w:cs="Arial"/>
          <w:color w:val="0C2340"/>
          <w:sz w:val="18"/>
          <w:szCs w:val="18"/>
          <w:lang w:eastAsia="it-IT"/>
        </w:rPr>
        <w:t>irettiva 2014/59/UE</w:t>
      </w:r>
      <w:r w:rsidRPr="00CC2FF5">
        <w:rPr>
          <w:rFonts w:cs="Arial"/>
          <w:color w:val="0C2340"/>
          <w:sz w:val="18"/>
          <w:szCs w:val="18"/>
        </w:rPr>
        <w:t>, intitolato “</w:t>
      </w:r>
      <w:r w:rsidRPr="00CC2FF5">
        <w:rPr>
          <w:rFonts w:cs="Arial"/>
          <w:bCs/>
          <w:color w:val="0C2340"/>
          <w:sz w:val="18"/>
          <w:szCs w:val="18"/>
        </w:rPr>
        <w:t>Rimozione dell’alta dirigenza e dell’organo di amministrazione”, dispone: “</w:t>
      </w:r>
      <w:r w:rsidRPr="00CC2FF5">
        <w:rPr>
          <w:rFonts w:cs="Arial"/>
          <w:bCs/>
          <w:i/>
          <w:color w:val="0C2340"/>
          <w:sz w:val="18"/>
          <w:szCs w:val="18"/>
        </w:rPr>
        <w:t xml:space="preserve">... </w:t>
      </w:r>
      <w:r w:rsidRPr="00CC2FF5">
        <w:rPr>
          <w:rFonts w:cs="Arial"/>
          <w:i/>
          <w:color w:val="0C2340"/>
          <w:sz w:val="18"/>
          <w:szCs w:val="18"/>
        </w:rPr>
        <w:t>Qualora si verifichi un significativo deterioramento della situazione finanziaria di un ente oppure vi siano gravi violazioni di disposizioni legislative, regolamentari o dello statuto dell’ente o gravi irregolarità amministrative, e se le altre misure attuate in conformità dell’articolo 27 non siano sufficienti ad invertire tale processo, gli Stati membri provvedono a che le autorità competenti possano esigere la rimozione dell’alta dirigenza o dell’organo di amministrazione dell’ente, nella sua totalità o per quanto riguarda singole persone. La nomina della nuova alta dirigenza o dell’organo di amministrazione è eseguita conformemente al diritto nazionale e dell’Unione ed è soggetta all’approvazione o al consenso dell’autorità competente...</w:t>
      </w:r>
      <w:r w:rsidRPr="00CC2FF5">
        <w:rPr>
          <w:rFonts w:cs="Arial"/>
          <w:color w:val="0C234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E95A" w14:textId="77777777" w:rsidR="006570C1" w:rsidRDefault="006570C1" w:rsidP="006570C1">
    <w:pPr>
      <w:pStyle w:val="INTESTAZIONE"/>
    </w:pPr>
  </w:p>
  <w:p w14:paraId="737C03B3" w14:textId="77777777" w:rsidR="006570C1" w:rsidRDefault="006570C1" w:rsidP="006570C1">
    <w:pPr>
      <w:pStyle w:val="INTESTAZIONE"/>
    </w:pPr>
  </w:p>
  <w:p w14:paraId="77A6DA57" w14:textId="77777777" w:rsidR="006570C1" w:rsidRPr="009F555A" w:rsidRDefault="006570C1" w:rsidP="006570C1">
    <w:pPr>
      <w:pStyle w:val="INTESTAZIONE"/>
      <w:rPr>
        <w:color w:val="D31567"/>
      </w:rPr>
    </w:pPr>
    <w:r w:rsidRPr="009F555A">
      <w:rPr>
        <w:color w:val="D31567"/>
      </w:rPr>
      <w:t>DE BERTI JACCHIA FRANCHINI FORLANI</w:t>
    </w:r>
  </w:p>
  <w:p w14:paraId="57134699" w14:textId="77777777" w:rsidR="000661E5" w:rsidRDefault="000661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86E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B891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04E27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0EB4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70E73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AA847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79449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F041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3DE22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BB626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6CF9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43664"/>
    <w:multiLevelType w:val="hybridMultilevel"/>
    <w:tmpl w:val="CBD64B3C"/>
    <w:lvl w:ilvl="0" w:tplc="E0A24714">
      <w:start w:val="1"/>
      <w:numFmt w:val="upperRoman"/>
      <w:lvlText w:val="%1."/>
      <w:lvlJc w:val="left"/>
      <w:pPr>
        <w:ind w:left="0" w:firstLine="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65B0C48"/>
    <w:multiLevelType w:val="multilevel"/>
    <w:tmpl w:val="0410001D"/>
    <w:styleLink w:val="ELENCO"/>
    <w:lvl w:ilvl="0">
      <w:start w:val="1"/>
      <w:numFmt w:val="upperRoman"/>
      <w:lvlText w:val="%1)"/>
      <w:lvlJc w:val="left"/>
      <w:pPr>
        <w:ind w:left="360" w:hanging="360"/>
      </w:pPr>
      <w:rPr>
        <w:color w:val="E72A7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A55D99"/>
    <w:multiLevelType w:val="hybridMultilevel"/>
    <w:tmpl w:val="AB58E67A"/>
    <w:lvl w:ilvl="0" w:tplc="5752515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92B468A"/>
    <w:multiLevelType w:val="multilevel"/>
    <w:tmpl w:val="4BDCA8E4"/>
    <w:lvl w:ilvl="0">
      <w:start w:val="1"/>
      <w:numFmt w:val="upperRoman"/>
      <w:suff w:val="space"/>
      <w:lvlText w:val="%1)"/>
      <w:lvlJc w:val="left"/>
      <w:pPr>
        <w:ind w:left="0" w:firstLine="0"/>
      </w:pPr>
      <w:rPr>
        <w:rFonts w:ascii="Arial" w:hAnsi="Arial" w:hint="default"/>
        <w:b/>
        <w:i w:val="0"/>
        <w:color w:val="E72A77"/>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B155A3"/>
    <w:multiLevelType w:val="multilevel"/>
    <w:tmpl w:val="4BDCA8E4"/>
    <w:lvl w:ilvl="0">
      <w:start w:val="1"/>
      <w:numFmt w:val="upperRoman"/>
      <w:suff w:val="space"/>
      <w:lvlText w:val="%1)"/>
      <w:lvlJc w:val="left"/>
      <w:pPr>
        <w:ind w:left="0" w:firstLine="0"/>
      </w:pPr>
      <w:rPr>
        <w:rFonts w:ascii="Arial" w:hAnsi="Arial" w:hint="default"/>
        <w:b/>
        <w:i w:val="0"/>
        <w:color w:val="E72A77"/>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3F0894"/>
    <w:multiLevelType w:val="multilevel"/>
    <w:tmpl w:val="FD60E1A8"/>
    <w:lvl w:ilvl="0">
      <w:start w:val="1"/>
      <w:numFmt w:val="upperRoman"/>
      <w:lvlText w:val="%1."/>
      <w:lvlJc w:val="left"/>
      <w:pPr>
        <w:ind w:left="0" w:firstLine="0"/>
      </w:pPr>
      <w:rPr>
        <w:rFonts w:hint="default"/>
        <w:color w:val="E72A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46F76"/>
    <w:multiLevelType w:val="hybridMultilevel"/>
    <w:tmpl w:val="8892EBD4"/>
    <w:lvl w:ilvl="0" w:tplc="5AB43338">
      <w:numFmt w:val="bullet"/>
      <w:lvlText w:val="-"/>
      <w:lvlJc w:val="left"/>
      <w:pPr>
        <w:ind w:left="720" w:hanging="360"/>
      </w:pPr>
      <w:rPr>
        <w:rFonts w:ascii="Arial" w:eastAsiaTheme="minorHAnsi"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0383837"/>
    <w:multiLevelType w:val="hybridMultilevel"/>
    <w:tmpl w:val="BDBE9338"/>
    <w:lvl w:ilvl="0" w:tplc="17AA227E">
      <w:start w:val="1"/>
      <w:numFmt w:val="upperRoman"/>
      <w:lvlText w:val="%1."/>
      <w:lvlJc w:val="left"/>
      <w:pPr>
        <w:ind w:left="1080" w:hanging="72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10D2C33"/>
    <w:multiLevelType w:val="hybridMultilevel"/>
    <w:tmpl w:val="D28E41A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C07DF5"/>
    <w:multiLevelType w:val="multilevel"/>
    <w:tmpl w:val="4BDCA8E4"/>
    <w:lvl w:ilvl="0">
      <w:start w:val="1"/>
      <w:numFmt w:val="upperRoman"/>
      <w:suff w:val="space"/>
      <w:lvlText w:val="%1)"/>
      <w:lvlJc w:val="left"/>
      <w:pPr>
        <w:ind w:left="0" w:firstLine="0"/>
      </w:pPr>
      <w:rPr>
        <w:rFonts w:ascii="Arial" w:hAnsi="Arial" w:hint="default"/>
        <w:b/>
        <w:i w:val="0"/>
        <w:color w:val="E72A77"/>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1C58CA"/>
    <w:multiLevelType w:val="hybridMultilevel"/>
    <w:tmpl w:val="8996BF08"/>
    <w:lvl w:ilvl="0" w:tplc="3314EA7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0C70C1"/>
    <w:multiLevelType w:val="hybridMultilevel"/>
    <w:tmpl w:val="BDB0AD4E"/>
    <w:lvl w:ilvl="0" w:tplc="E0A24714">
      <w:start w:val="1"/>
      <w:numFmt w:val="upperRoman"/>
      <w:lvlText w:val="%1."/>
      <w:lvlJc w:val="left"/>
      <w:pPr>
        <w:ind w:left="0" w:firstLine="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91129A"/>
    <w:multiLevelType w:val="hybridMultilevel"/>
    <w:tmpl w:val="866EC0CC"/>
    <w:lvl w:ilvl="0" w:tplc="0410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7EE6B0C"/>
    <w:multiLevelType w:val="hybridMultilevel"/>
    <w:tmpl w:val="0172D88E"/>
    <w:lvl w:ilvl="0" w:tplc="17AA227E">
      <w:start w:val="1"/>
      <w:numFmt w:val="upperRoman"/>
      <w:lvlText w:val="%1."/>
      <w:lvlJc w:val="left"/>
      <w:pPr>
        <w:ind w:left="720" w:hanging="36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4E4424"/>
    <w:multiLevelType w:val="multilevel"/>
    <w:tmpl w:val="4BDCA8E4"/>
    <w:lvl w:ilvl="0">
      <w:start w:val="1"/>
      <w:numFmt w:val="upperRoman"/>
      <w:suff w:val="space"/>
      <w:lvlText w:val="%1)"/>
      <w:lvlJc w:val="left"/>
      <w:pPr>
        <w:ind w:left="0" w:firstLine="0"/>
      </w:pPr>
      <w:rPr>
        <w:rFonts w:ascii="Arial" w:hAnsi="Arial" w:hint="default"/>
        <w:b/>
        <w:i w:val="0"/>
        <w:color w:val="E72A77"/>
        <w:sz w:val="20"/>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41606E"/>
    <w:multiLevelType w:val="hybridMultilevel"/>
    <w:tmpl w:val="E9446560"/>
    <w:lvl w:ilvl="0" w:tplc="C7AEF92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AB4D8A"/>
    <w:multiLevelType w:val="hybridMultilevel"/>
    <w:tmpl w:val="DC2073C4"/>
    <w:lvl w:ilvl="0" w:tplc="27B24664">
      <w:start w:val="1"/>
      <w:numFmt w:val="upperRoman"/>
      <w:lvlText w:val="%1."/>
      <w:lvlJc w:val="left"/>
      <w:pPr>
        <w:ind w:left="0" w:firstLine="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C2052D"/>
    <w:multiLevelType w:val="hybridMultilevel"/>
    <w:tmpl w:val="F3F831F6"/>
    <w:lvl w:ilvl="0" w:tplc="2272BA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7D0DA2"/>
    <w:multiLevelType w:val="hybridMultilevel"/>
    <w:tmpl w:val="73D08DE2"/>
    <w:lvl w:ilvl="0" w:tplc="0410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3A767A0"/>
    <w:multiLevelType w:val="multilevel"/>
    <w:tmpl w:val="0410001D"/>
    <w:numStyleLink w:val="Stile1"/>
  </w:abstractNum>
  <w:abstractNum w:abstractNumId="31" w15:restartNumberingAfterBreak="0">
    <w:nsid w:val="546D2A97"/>
    <w:multiLevelType w:val="multilevel"/>
    <w:tmpl w:val="DC2073C4"/>
    <w:lvl w:ilvl="0">
      <w:start w:val="1"/>
      <w:numFmt w:val="upperRoman"/>
      <w:lvlText w:val="%1."/>
      <w:lvlJc w:val="left"/>
      <w:pPr>
        <w:ind w:left="0" w:firstLine="0"/>
      </w:pPr>
      <w:rPr>
        <w:rFonts w:hint="default"/>
        <w:color w:val="E72A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967FAC"/>
    <w:multiLevelType w:val="multilevel"/>
    <w:tmpl w:val="BDB0AD4E"/>
    <w:lvl w:ilvl="0">
      <w:start w:val="1"/>
      <w:numFmt w:val="upperRoman"/>
      <w:lvlText w:val="%1."/>
      <w:lvlJc w:val="left"/>
      <w:pPr>
        <w:ind w:left="0" w:firstLine="0"/>
      </w:pPr>
      <w:rPr>
        <w:rFonts w:hint="default"/>
        <w:color w:val="E72A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203A33"/>
    <w:multiLevelType w:val="multilevel"/>
    <w:tmpl w:val="0410001D"/>
    <w:numStyleLink w:val="ELENCO"/>
  </w:abstractNum>
  <w:abstractNum w:abstractNumId="34" w15:restartNumberingAfterBreak="0">
    <w:nsid w:val="5ACE57C2"/>
    <w:multiLevelType w:val="hybridMultilevel"/>
    <w:tmpl w:val="FF561102"/>
    <w:lvl w:ilvl="0" w:tplc="0410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3BE2B77"/>
    <w:multiLevelType w:val="hybridMultilevel"/>
    <w:tmpl w:val="38C695B4"/>
    <w:lvl w:ilvl="0" w:tplc="0410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69F1107E"/>
    <w:multiLevelType w:val="hybridMultilevel"/>
    <w:tmpl w:val="ECF05A3A"/>
    <w:lvl w:ilvl="0" w:tplc="5AB43338">
      <w:numFmt w:val="bullet"/>
      <w:lvlText w:val="-"/>
      <w:lvlJc w:val="left"/>
      <w:pPr>
        <w:ind w:left="720" w:hanging="360"/>
      </w:pPr>
      <w:rPr>
        <w:rFonts w:ascii="Arial" w:eastAsiaTheme="minorHAnsi"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A0E7266"/>
    <w:multiLevelType w:val="hybridMultilevel"/>
    <w:tmpl w:val="FD60E1A8"/>
    <w:lvl w:ilvl="0" w:tplc="27B24664">
      <w:start w:val="1"/>
      <w:numFmt w:val="upperRoman"/>
      <w:lvlText w:val="%1."/>
      <w:lvlJc w:val="left"/>
      <w:pPr>
        <w:ind w:left="0" w:firstLine="0"/>
      </w:pPr>
      <w:rPr>
        <w:rFonts w:hint="default"/>
        <w:color w:val="E72A7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230966"/>
    <w:multiLevelType w:val="multilevel"/>
    <w:tmpl w:val="0172D88E"/>
    <w:lvl w:ilvl="0">
      <w:start w:val="1"/>
      <w:numFmt w:val="upperRoman"/>
      <w:lvlText w:val="%1."/>
      <w:lvlJc w:val="left"/>
      <w:pPr>
        <w:ind w:left="720" w:hanging="360"/>
      </w:pPr>
      <w:rPr>
        <w:rFonts w:hint="default"/>
        <w:color w:val="E72A7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1A46BD"/>
    <w:multiLevelType w:val="multilevel"/>
    <w:tmpl w:val="0410001D"/>
    <w:styleLink w:val="Stile1"/>
    <w:lvl w:ilvl="0">
      <w:start w:val="1"/>
      <w:numFmt w:val="upperRoman"/>
      <w:lvlText w:val="%1)"/>
      <w:lvlJc w:val="left"/>
      <w:pPr>
        <w:ind w:left="360" w:hanging="360"/>
      </w:pPr>
      <w:rPr>
        <w:color w:val="E72A7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63755466">
    <w:abstractNumId w:val="19"/>
  </w:num>
  <w:num w:numId="2" w16cid:durableId="1090348466">
    <w:abstractNumId w:val="5"/>
  </w:num>
  <w:num w:numId="3" w16cid:durableId="52198813">
    <w:abstractNumId w:val="6"/>
  </w:num>
  <w:num w:numId="4" w16cid:durableId="663436185">
    <w:abstractNumId w:val="7"/>
  </w:num>
  <w:num w:numId="5" w16cid:durableId="1788886932">
    <w:abstractNumId w:val="8"/>
  </w:num>
  <w:num w:numId="6" w16cid:durableId="550507208">
    <w:abstractNumId w:val="10"/>
  </w:num>
  <w:num w:numId="7" w16cid:durableId="2113621914">
    <w:abstractNumId w:val="1"/>
  </w:num>
  <w:num w:numId="8" w16cid:durableId="285358605">
    <w:abstractNumId w:val="2"/>
  </w:num>
  <w:num w:numId="9" w16cid:durableId="631642060">
    <w:abstractNumId w:val="3"/>
  </w:num>
  <w:num w:numId="10" w16cid:durableId="744886344">
    <w:abstractNumId w:val="4"/>
  </w:num>
  <w:num w:numId="11" w16cid:durableId="232132518">
    <w:abstractNumId w:val="9"/>
  </w:num>
  <w:num w:numId="12" w16cid:durableId="1795099858">
    <w:abstractNumId w:val="0"/>
  </w:num>
  <w:num w:numId="13" w16cid:durableId="1198353133">
    <w:abstractNumId w:val="39"/>
  </w:num>
  <w:num w:numId="14" w16cid:durableId="1140342691">
    <w:abstractNumId w:val="30"/>
  </w:num>
  <w:num w:numId="15" w16cid:durableId="1605113351">
    <w:abstractNumId w:val="12"/>
  </w:num>
  <w:num w:numId="16" w16cid:durableId="1257666696">
    <w:abstractNumId w:val="33"/>
  </w:num>
  <w:num w:numId="17" w16cid:durableId="1539783816">
    <w:abstractNumId w:val="18"/>
  </w:num>
  <w:num w:numId="18" w16cid:durableId="1796753494">
    <w:abstractNumId w:val="24"/>
  </w:num>
  <w:num w:numId="19" w16cid:durableId="1979650920">
    <w:abstractNumId w:val="38"/>
  </w:num>
  <w:num w:numId="20" w16cid:durableId="1266957514">
    <w:abstractNumId w:val="27"/>
  </w:num>
  <w:num w:numId="21" w16cid:durableId="144711892">
    <w:abstractNumId w:val="31"/>
  </w:num>
  <w:num w:numId="22" w16cid:durableId="206139714">
    <w:abstractNumId w:val="37"/>
  </w:num>
  <w:num w:numId="23" w16cid:durableId="910653299">
    <w:abstractNumId w:val="16"/>
  </w:num>
  <w:num w:numId="24" w16cid:durableId="2002198440">
    <w:abstractNumId w:val="22"/>
  </w:num>
  <w:num w:numId="25" w16cid:durableId="1471090736">
    <w:abstractNumId w:val="32"/>
  </w:num>
  <w:num w:numId="26" w16cid:durableId="756898951">
    <w:abstractNumId w:val="25"/>
  </w:num>
  <w:num w:numId="27" w16cid:durableId="306058582">
    <w:abstractNumId w:val="15"/>
  </w:num>
  <w:num w:numId="28" w16cid:durableId="1899776268">
    <w:abstractNumId w:val="14"/>
  </w:num>
  <w:num w:numId="29" w16cid:durableId="2100053264">
    <w:abstractNumId w:val="20"/>
  </w:num>
  <w:num w:numId="30" w16cid:durableId="544761523">
    <w:abstractNumId w:val="11"/>
  </w:num>
  <w:num w:numId="31" w16cid:durableId="604924844">
    <w:abstractNumId w:val="17"/>
  </w:num>
  <w:num w:numId="32" w16cid:durableId="961228215">
    <w:abstractNumId w:val="36"/>
  </w:num>
  <w:num w:numId="33" w16cid:durableId="1088388316">
    <w:abstractNumId w:val="29"/>
  </w:num>
  <w:num w:numId="34" w16cid:durableId="383212883">
    <w:abstractNumId w:val="34"/>
  </w:num>
  <w:num w:numId="35" w16cid:durableId="627980115">
    <w:abstractNumId w:val="35"/>
  </w:num>
  <w:num w:numId="36" w16cid:durableId="1218082087">
    <w:abstractNumId w:val="13"/>
  </w:num>
  <w:num w:numId="37" w16cid:durableId="1927301767">
    <w:abstractNumId w:val="23"/>
  </w:num>
  <w:num w:numId="38" w16cid:durableId="721249074">
    <w:abstractNumId w:val="28"/>
  </w:num>
  <w:num w:numId="39" w16cid:durableId="1188984402">
    <w:abstractNumId w:val="21"/>
  </w:num>
  <w:num w:numId="40" w16cid:durableId="3809066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00"/>
    <w:rsid w:val="000425DD"/>
    <w:rsid w:val="00052EEB"/>
    <w:rsid w:val="000661E5"/>
    <w:rsid w:val="00073971"/>
    <w:rsid w:val="0007414A"/>
    <w:rsid w:val="0008259E"/>
    <w:rsid w:val="00093FFF"/>
    <w:rsid w:val="000F3F34"/>
    <w:rsid w:val="00113464"/>
    <w:rsid w:val="00113CB1"/>
    <w:rsid w:val="001253F1"/>
    <w:rsid w:val="00130A5F"/>
    <w:rsid w:val="001549B4"/>
    <w:rsid w:val="0016116A"/>
    <w:rsid w:val="00172110"/>
    <w:rsid w:val="00196D73"/>
    <w:rsid w:val="001B41EC"/>
    <w:rsid w:val="001C7CD5"/>
    <w:rsid w:val="001E0347"/>
    <w:rsid w:val="00211F0D"/>
    <w:rsid w:val="0025021F"/>
    <w:rsid w:val="0025684A"/>
    <w:rsid w:val="00290153"/>
    <w:rsid w:val="002E008E"/>
    <w:rsid w:val="002F7944"/>
    <w:rsid w:val="00305E96"/>
    <w:rsid w:val="00321245"/>
    <w:rsid w:val="00321E73"/>
    <w:rsid w:val="0032565B"/>
    <w:rsid w:val="00340914"/>
    <w:rsid w:val="0037716C"/>
    <w:rsid w:val="003B319D"/>
    <w:rsid w:val="003C6E50"/>
    <w:rsid w:val="00410D24"/>
    <w:rsid w:val="00477BC2"/>
    <w:rsid w:val="00481E82"/>
    <w:rsid w:val="00486657"/>
    <w:rsid w:val="004908D2"/>
    <w:rsid w:val="004A0968"/>
    <w:rsid w:val="004D1600"/>
    <w:rsid w:val="004F114B"/>
    <w:rsid w:val="004F2321"/>
    <w:rsid w:val="00500934"/>
    <w:rsid w:val="00503821"/>
    <w:rsid w:val="00503B90"/>
    <w:rsid w:val="005171E1"/>
    <w:rsid w:val="0054224B"/>
    <w:rsid w:val="0054360A"/>
    <w:rsid w:val="00543F07"/>
    <w:rsid w:val="00555934"/>
    <w:rsid w:val="005C5BDA"/>
    <w:rsid w:val="005C7321"/>
    <w:rsid w:val="005F0E47"/>
    <w:rsid w:val="005F42AA"/>
    <w:rsid w:val="006132DE"/>
    <w:rsid w:val="00623C30"/>
    <w:rsid w:val="00651A84"/>
    <w:rsid w:val="006570C1"/>
    <w:rsid w:val="006605A7"/>
    <w:rsid w:val="006638F0"/>
    <w:rsid w:val="006855FE"/>
    <w:rsid w:val="00696236"/>
    <w:rsid w:val="006B26E7"/>
    <w:rsid w:val="007036B5"/>
    <w:rsid w:val="00710EFC"/>
    <w:rsid w:val="00722EAD"/>
    <w:rsid w:val="007B2550"/>
    <w:rsid w:val="007D3603"/>
    <w:rsid w:val="007D6D0A"/>
    <w:rsid w:val="007E09AA"/>
    <w:rsid w:val="007E6E05"/>
    <w:rsid w:val="00816663"/>
    <w:rsid w:val="008746FA"/>
    <w:rsid w:val="008748C9"/>
    <w:rsid w:val="008B7753"/>
    <w:rsid w:val="008D6C24"/>
    <w:rsid w:val="00912D80"/>
    <w:rsid w:val="009376D0"/>
    <w:rsid w:val="00951CFF"/>
    <w:rsid w:val="00957CED"/>
    <w:rsid w:val="009D10B3"/>
    <w:rsid w:val="009E4F6A"/>
    <w:rsid w:val="009F1463"/>
    <w:rsid w:val="009F555A"/>
    <w:rsid w:val="00A008E2"/>
    <w:rsid w:val="00A06960"/>
    <w:rsid w:val="00A36E0C"/>
    <w:rsid w:val="00A42785"/>
    <w:rsid w:val="00A460DB"/>
    <w:rsid w:val="00A93D00"/>
    <w:rsid w:val="00AA2CA7"/>
    <w:rsid w:val="00AA4DCE"/>
    <w:rsid w:val="00AF49CD"/>
    <w:rsid w:val="00AF56DD"/>
    <w:rsid w:val="00B01197"/>
    <w:rsid w:val="00B0233F"/>
    <w:rsid w:val="00B33108"/>
    <w:rsid w:val="00B3383C"/>
    <w:rsid w:val="00B5194D"/>
    <w:rsid w:val="00B6159D"/>
    <w:rsid w:val="00BA3B03"/>
    <w:rsid w:val="00BA522B"/>
    <w:rsid w:val="00BB1490"/>
    <w:rsid w:val="00BE1529"/>
    <w:rsid w:val="00BE2A70"/>
    <w:rsid w:val="00C3124F"/>
    <w:rsid w:val="00C5307C"/>
    <w:rsid w:val="00C90292"/>
    <w:rsid w:val="00CB6826"/>
    <w:rsid w:val="00CC2FF5"/>
    <w:rsid w:val="00CC7FB8"/>
    <w:rsid w:val="00CD1C7D"/>
    <w:rsid w:val="00CD2270"/>
    <w:rsid w:val="00D01CF7"/>
    <w:rsid w:val="00D16642"/>
    <w:rsid w:val="00D22B51"/>
    <w:rsid w:val="00D23531"/>
    <w:rsid w:val="00D34757"/>
    <w:rsid w:val="00D734AB"/>
    <w:rsid w:val="00D84735"/>
    <w:rsid w:val="00DA3F47"/>
    <w:rsid w:val="00DB41CA"/>
    <w:rsid w:val="00E4493E"/>
    <w:rsid w:val="00E80679"/>
    <w:rsid w:val="00ED1220"/>
    <w:rsid w:val="00EE6005"/>
    <w:rsid w:val="00F25911"/>
    <w:rsid w:val="00F9424B"/>
    <w:rsid w:val="00FC7868"/>
    <w:rsid w:val="00FD7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B6D60"/>
  <w14:defaultImageDpi w14:val="32767"/>
  <w15:chartTrackingRefBased/>
  <w15:docId w15:val="{8B3714BD-1DFD-415C-A337-4C7DE090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E72A77"/>
        <w:sz w:val="5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661E5"/>
    <w:rPr>
      <w:color w:val="004772"/>
      <w:sz w:val="20"/>
    </w:rPr>
  </w:style>
  <w:style w:type="paragraph" w:styleId="Titolo1">
    <w:name w:val="heading 1"/>
    <w:basedOn w:val="Normale"/>
    <w:next w:val="Normale"/>
    <w:link w:val="Titolo1Carattere"/>
    <w:uiPriority w:val="9"/>
    <w:qFormat/>
    <w:rsid w:val="00321245"/>
    <w:pPr>
      <w:keepNext/>
      <w:keepLines/>
      <w:spacing w:before="240"/>
      <w:outlineLvl w:val="0"/>
    </w:pPr>
    <w:rPr>
      <w:rFonts w:eastAsiaTheme="majorEastAsia" w:cstheme="majorBidi"/>
      <w:color w:val="E72A77"/>
      <w:sz w:val="24"/>
      <w:szCs w:val="32"/>
    </w:rPr>
  </w:style>
  <w:style w:type="paragraph" w:styleId="Titolo2">
    <w:name w:val="heading 2"/>
    <w:basedOn w:val="Normale"/>
    <w:next w:val="Normale"/>
    <w:link w:val="Titolo2Carattere"/>
    <w:uiPriority w:val="9"/>
    <w:unhideWhenUsed/>
    <w:qFormat/>
    <w:rsid w:val="003212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
    <w:name w:val="INTESTAZIONE"/>
    <w:basedOn w:val="Normale"/>
    <w:qFormat/>
    <w:rsid w:val="000661E5"/>
    <w:pPr>
      <w:jc w:val="right"/>
    </w:pPr>
    <w:rPr>
      <w:color w:val="E72A77"/>
      <w:sz w:val="16"/>
    </w:rPr>
  </w:style>
  <w:style w:type="character" w:customStyle="1" w:styleId="Titolo1Carattere">
    <w:name w:val="Titolo 1 Carattere"/>
    <w:basedOn w:val="Carpredefinitoparagrafo"/>
    <w:link w:val="Titolo1"/>
    <w:uiPriority w:val="9"/>
    <w:rsid w:val="00321245"/>
    <w:rPr>
      <w:rFonts w:eastAsiaTheme="majorEastAsia" w:cstheme="majorBidi"/>
      <w:sz w:val="24"/>
      <w:szCs w:val="32"/>
    </w:rPr>
  </w:style>
  <w:style w:type="paragraph" w:customStyle="1" w:styleId="www">
    <w:name w:val="www"/>
    <w:basedOn w:val="Normale"/>
    <w:qFormat/>
    <w:rsid w:val="000661E5"/>
    <w:pPr>
      <w:ind w:left="1701"/>
      <w:jc w:val="right"/>
    </w:pPr>
    <w:rPr>
      <w:rFonts w:cs="Times New Roman"/>
      <w:szCs w:val="15"/>
      <w:lang w:val="en-US" w:eastAsia="it-IT"/>
    </w:rPr>
  </w:style>
  <w:style w:type="paragraph" w:styleId="Sommario1">
    <w:name w:val="toc 1"/>
    <w:basedOn w:val="Normale"/>
    <w:next w:val="Normale"/>
    <w:autoRedefine/>
    <w:uiPriority w:val="39"/>
    <w:semiHidden/>
    <w:unhideWhenUsed/>
    <w:rsid w:val="00B01197"/>
    <w:pPr>
      <w:spacing w:before="120"/>
    </w:pPr>
    <w:rPr>
      <w:rFonts w:asciiTheme="minorHAnsi" w:hAnsiTheme="minorHAnsi"/>
      <w:b/>
      <w:bCs/>
      <w:sz w:val="24"/>
    </w:rPr>
  </w:style>
  <w:style w:type="paragraph" w:styleId="Sommario2">
    <w:name w:val="toc 2"/>
    <w:basedOn w:val="Normale"/>
    <w:next w:val="Normale"/>
    <w:autoRedefine/>
    <w:uiPriority w:val="39"/>
    <w:semiHidden/>
    <w:unhideWhenUsed/>
    <w:rsid w:val="00B01197"/>
    <w:pPr>
      <w:ind w:left="540"/>
    </w:pPr>
    <w:rPr>
      <w:rFonts w:asciiTheme="minorHAnsi" w:hAnsiTheme="minorHAnsi"/>
      <w:b/>
      <w:bCs/>
      <w:sz w:val="22"/>
      <w:szCs w:val="22"/>
    </w:rPr>
  </w:style>
  <w:style w:type="paragraph" w:styleId="Sommario3">
    <w:name w:val="toc 3"/>
    <w:basedOn w:val="Normale"/>
    <w:next w:val="Normale"/>
    <w:autoRedefine/>
    <w:uiPriority w:val="39"/>
    <w:semiHidden/>
    <w:unhideWhenUsed/>
    <w:rsid w:val="00B01197"/>
    <w:pPr>
      <w:ind w:left="1080"/>
    </w:pPr>
    <w:rPr>
      <w:rFonts w:asciiTheme="minorHAnsi" w:hAnsiTheme="minorHAnsi"/>
      <w:sz w:val="22"/>
      <w:szCs w:val="22"/>
    </w:rPr>
  </w:style>
  <w:style w:type="paragraph" w:styleId="Sommario4">
    <w:name w:val="toc 4"/>
    <w:basedOn w:val="Normale"/>
    <w:next w:val="Normale"/>
    <w:autoRedefine/>
    <w:uiPriority w:val="39"/>
    <w:semiHidden/>
    <w:unhideWhenUsed/>
    <w:rsid w:val="00B01197"/>
    <w:pPr>
      <w:ind w:left="1620"/>
    </w:pPr>
    <w:rPr>
      <w:rFonts w:asciiTheme="minorHAnsi" w:hAnsiTheme="minorHAnsi"/>
      <w:szCs w:val="20"/>
    </w:rPr>
  </w:style>
  <w:style w:type="paragraph" w:styleId="Sommario5">
    <w:name w:val="toc 5"/>
    <w:basedOn w:val="Normale"/>
    <w:next w:val="Normale"/>
    <w:autoRedefine/>
    <w:uiPriority w:val="39"/>
    <w:semiHidden/>
    <w:unhideWhenUsed/>
    <w:rsid w:val="00B01197"/>
    <w:pPr>
      <w:ind w:left="2160"/>
    </w:pPr>
    <w:rPr>
      <w:rFonts w:asciiTheme="minorHAnsi" w:hAnsiTheme="minorHAnsi"/>
      <w:szCs w:val="20"/>
    </w:rPr>
  </w:style>
  <w:style w:type="paragraph" w:styleId="Sommario6">
    <w:name w:val="toc 6"/>
    <w:basedOn w:val="Normale"/>
    <w:next w:val="Normale"/>
    <w:autoRedefine/>
    <w:uiPriority w:val="39"/>
    <w:semiHidden/>
    <w:unhideWhenUsed/>
    <w:rsid w:val="00B01197"/>
    <w:pPr>
      <w:ind w:left="2700"/>
    </w:pPr>
    <w:rPr>
      <w:rFonts w:asciiTheme="minorHAnsi" w:hAnsiTheme="minorHAnsi"/>
      <w:szCs w:val="20"/>
    </w:rPr>
  </w:style>
  <w:style w:type="paragraph" w:styleId="Sommario7">
    <w:name w:val="toc 7"/>
    <w:basedOn w:val="Normale"/>
    <w:next w:val="Normale"/>
    <w:autoRedefine/>
    <w:uiPriority w:val="39"/>
    <w:semiHidden/>
    <w:unhideWhenUsed/>
    <w:rsid w:val="00B01197"/>
    <w:pPr>
      <w:ind w:left="3240"/>
    </w:pPr>
    <w:rPr>
      <w:rFonts w:asciiTheme="minorHAnsi" w:hAnsiTheme="minorHAnsi"/>
      <w:szCs w:val="20"/>
    </w:rPr>
  </w:style>
  <w:style w:type="paragraph" w:styleId="Sommario8">
    <w:name w:val="toc 8"/>
    <w:basedOn w:val="Normale"/>
    <w:next w:val="Normale"/>
    <w:autoRedefine/>
    <w:uiPriority w:val="39"/>
    <w:semiHidden/>
    <w:unhideWhenUsed/>
    <w:rsid w:val="00B01197"/>
    <w:pPr>
      <w:ind w:left="3780"/>
    </w:pPr>
    <w:rPr>
      <w:rFonts w:asciiTheme="minorHAnsi" w:hAnsiTheme="minorHAnsi"/>
      <w:szCs w:val="20"/>
    </w:rPr>
  </w:style>
  <w:style w:type="paragraph" w:styleId="Sommario9">
    <w:name w:val="toc 9"/>
    <w:basedOn w:val="Normale"/>
    <w:next w:val="Normale"/>
    <w:autoRedefine/>
    <w:uiPriority w:val="39"/>
    <w:semiHidden/>
    <w:unhideWhenUsed/>
    <w:rsid w:val="00B01197"/>
    <w:pPr>
      <w:ind w:left="4320"/>
    </w:pPr>
    <w:rPr>
      <w:rFonts w:asciiTheme="minorHAnsi" w:hAnsiTheme="minorHAnsi"/>
      <w:szCs w:val="20"/>
    </w:rPr>
  </w:style>
  <w:style w:type="paragraph" w:customStyle="1" w:styleId="TITOLO">
    <w:name w:val="TITOLO"/>
    <w:basedOn w:val="Normale"/>
    <w:qFormat/>
    <w:rsid w:val="000661E5"/>
    <w:rPr>
      <w:color w:val="E72A77"/>
      <w:sz w:val="54"/>
    </w:rPr>
  </w:style>
  <w:style w:type="numbering" w:customStyle="1" w:styleId="Stile1">
    <w:name w:val="Stile1"/>
    <w:uiPriority w:val="99"/>
    <w:rsid w:val="006570C1"/>
    <w:pPr>
      <w:numPr>
        <w:numId w:val="13"/>
      </w:numPr>
    </w:pPr>
  </w:style>
  <w:style w:type="paragraph" w:customStyle="1" w:styleId="AUTORI">
    <w:name w:val="AUTORI"/>
    <w:basedOn w:val="Normale"/>
    <w:qFormat/>
    <w:rsid w:val="000661E5"/>
    <w:rPr>
      <w:sz w:val="24"/>
    </w:rPr>
  </w:style>
  <w:style w:type="paragraph" w:customStyle="1" w:styleId="TESTO">
    <w:name w:val="TESTO"/>
    <w:basedOn w:val="Normale"/>
    <w:qFormat/>
    <w:rsid w:val="000661E5"/>
    <w:rPr>
      <w:szCs w:val="20"/>
      <w:lang w:val="en-US"/>
    </w:rPr>
  </w:style>
  <w:style w:type="paragraph" w:styleId="Paragrafoelenco">
    <w:name w:val="List Paragraph"/>
    <w:aliases w:val="SOMMARIO"/>
    <w:basedOn w:val="Normale"/>
    <w:uiPriority w:val="34"/>
    <w:qFormat/>
    <w:rsid w:val="00951CFF"/>
    <w:pPr>
      <w:keepLines/>
      <w:suppressAutoHyphens/>
      <w:contextualSpacing/>
    </w:pPr>
  </w:style>
  <w:style w:type="numbering" w:customStyle="1" w:styleId="ELENCO">
    <w:name w:val="ELENCO"/>
    <w:uiPriority w:val="99"/>
    <w:rsid w:val="006570C1"/>
    <w:pPr>
      <w:numPr>
        <w:numId w:val="15"/>
      </w:numPr>
    </w:pPr>
  </w:style>
  <w:style w:type="character" w:customStyle="1" w:styleId="Titolo2Carattere">
    <w:name w:val="Titolo 2 Carattere"/>
    <w:basedOn w:val="Carpredefinitoparagrafo"/>
    <w:link w:val="Titolo2"/>
    <w:uiPriority w:val="9"/>
    <w:rsid w:val="00321245"/>
    <w:rPr>
      <w:rFonts w:asciiTheme="majorHAnsi" w:eastAsiaTheme="majorEastAsia" w:hAnsiTheme="majorHAnsi" w:cstheme="majorBidi"/>
      <w:color w:val="2F5496" w:themeColor="accent1" w:themeShade="BF"/>
      <w:sz w:val="26"/>
      <w:szCs w:val="26"/>
    </w:rPr>
  </w:style>
  <w:style w:type="paragraph" w:customStyle="1" w:styleId="letterainiziale">
    <w:name w:val="lettera iniziale"/>
    <w:basedOn w:val="Normale"/>
    <w:qFormat/>
    <w:rsid w:val="00AF49CD"/>
    <w:rPr>
      <w:rFonts w:cs="Arial"/>
      <w:b/>
      <w:bCs/>
      <w:color w:val="E72A77"/>
      <w:sz w:val="54"/>
      <w:szCs w:val="54"/>
    </w:rPr>
  </w:style>
  <w:style w:type="paragraph" w:styleId="Pidipagina">
    <w:name w:val="footer"/>
    <w:basedOn w:val="Normale"/>
    <w:link w:val="PidipaginaCarattere"/>
    <w:uiPriority w:val="99"/>
    <w:unhideWhenUsed/>
    <w:rsid w:val="00C90292"/>
    <w:pPr>
      <w:tabs>
        <w:tab w:val="center" w:pos="4819"/>
        <w:tab w:val="right" w:pos="9638"/>
      </w:tabs>
    </w:pPr>
  </w:style>
  <w:style w:type="character" w:customStyle="1" w:styleId="PidipaginaCarattere">
    <w:name w:val="Piè di pagina Carattere"/>
    <w:basedOn w:val="Carpredefinitoparagrafo"/>
    <w:link w:val="Pidipagina"/>
    <w:uiPriority w:val="99"/>
    <w:rsid w:val="00C90292"/>
    <w:rPr>
      <w:color w:val="004772"/>
      <w:sz w:val="20"/>
    </w:rPr>
  </w:style>
  <w:style w:type="character" w:styleId="Numeropagina">
    <w:name w:val="page number"/>
    <w:basedOn w:val="Carpredefinitoparagrafo"/>
    <w:uiPriority w:val="99"/>
    <w:unhideWhenUsed/>
    <w:rsid w:val="00503821"/>
    <w:rPr>
      <w:sz w:val="16"/>
    </w:rPr>
  </w:style>
  <w:style w:type="paragraph" w:styleId="Intestazione0">
    <w:name w:val="header"/>
    <w:basedOn w:val="Normale"/>
    <w:link w:val="IntestazioneCarattere"/>
    <w:uiPriority w:val="99"/>
    <w:unhideWhenUsed/>
    <w:rsid w:val="000425DD"/>
    <w:pPr>
      <w:tabs>
        <w:tab w:val="center" w:pos="4819"/>
        <w:tab w:val="right" w:pos="9638"/>
      </w:tabs>
    </w:pPr>
  </w:style>
  <w:style w:type="character" w:customStyle="1" w:styleId="IntestazioneCarattere">
    <w:name w:val="Intestazione Carattere"/>
    <w:basedOn w:val="Carpredefinitoparagrafo"/>
    <w:link w:val="Intestazione0"/>
    <w:uiPriority w:val="99"/>
    <w:rsid w:val="000425DD"/>
    <w:rPr>
      <w:color w:val="004772"/>
      <w:sz w:val="20"/>
    </w:rPr>
  </w:style>
  <w:style w:type="paragraph" w:styleId="Testonotaapidipagina">
    <w:name w:val="footnote text"/>
    <w:basedOn w:val="Normale"/>
    <w:link w:val="TestonotaapidipaginaCarattere"/>
    <w:uiPriority w:val="99"/>
    <w:unhideWhenUsed/>
    <w:rsid w:val="00503821"/>
    <w:rPr>
      <w:sz w:val="16"/>
    </w:rPr>
  </w:style>
  <w:style w:type="character" w:customStyle="1" w:styleId="TestonotaapidipaginaCarattere">
    <w:name w:val="Testo nota a piè di pagina Carattere"/>
    <w:basedOn w:val="Carpredefinitoparagrafo"/>
    <w:link w:val="Testonotaapidipagina"/>
    <w:uiPriority w:val="99"/>
    <w:rsid w:val="00503821"/>
    <w:rPr>
      <w:color w:val="004772"/>
      <w:sz w:val="16"/>
    </w:rPr>
  </w:style>
  <w:style w:type="character" w:styleId="Rimandonotaapidipagina">
    <w:name w:val="footnote reference"/>
    <w:basedOn w:val="Carpredefinitoparagrafo"/>
    <w:uiPriority w:val="99"/>
    <w:unhideWhenUsed/>
    <w:rsid w:val="008746FA"/>
    <w:rPr>
      <w:vertAlign w:val="superscript"/>
    </w:rPr>
  </w:style>
  <w:style w:type="paragraph" w:customStyle="1" w:styleId="Note">
    <w:name w:val="Note"/>
    <w:basedOn w:val="Testonotaapidipagina"/>
    <w:qFormat/>
    <w:rsid w:val="00D84735"/>
    <w:rPr>
      <w:szCs w:val="16"/>
      <w14:textOutline w14:w="9525" w14:cap="rnd" w14:cmpd="sng" w14:algn="ctr">
        <w14:noFill/>
        <w14:prstDash w14:val="solid"/>
        <w14:bevel/>
      </w14:textOutline>
    </w:rPr>
  </w:style>
  <w:style w:type="character" w:styleId="Collegamentoipertestuale">
    <w:name w:val="Hyperlink"/>
    <w:basedOn w:val="Carpredefinitoparagrafo"/>
    <w:uiPriority w:val="99"/>
    <w:rsid w:val="00E4493E"/>
    <w:rPr>
      <w:color w:val="0000FF"/>
      <w:u w:val="single"/>
    </w:rPr>
  </w:style>
  <w:style w:type="table" w:styleId="Grigliatabella">
    <w:name w:val="Table Grid"/>
    <w:basedOn w:val="Tabellanormale"/>
    <w:uiPriority w:val="39"/>
    <w:rsid w:val="0054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E2A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2A70"/>
    <w:rPr>
      <w:rFonts w:ascii="Segoe UI" w:hAnsi="Segoe UI" w:cs="Segoe UI"/>
      <w:color w:val="004772"/>
      <w:sz w:val="18"/>
      <w:szCs w:val="18"/>
    </w:rPr>
  </w:style>
  <w:style w:type="character" w:styleId="Enfasicorsivo">
    <w:name w:val="Emphasis"/>
    <w:basedOn w:val="Carpredefinitoparagrafo"/>
    <w:uiPriority w:val="20"/>
    <w:qFormat/>
    <w:rsid w:val="006855FE"/>
    <w:rPr>
      <w:i/>
      <w:iCs/>
    </w:rPr>
  </w:style>
  <w:style w:type="character" w:customStyle="1" w:styleId="apple-converted-space">
    <w:name w:val="apple-converted-space"/>
    <w:basedOn w:val="Carpredefinitoparagrafo"/>
    <w:rsid w:val="00660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9962">
      <w:bodyDiv w:val="1"/>
      <w:marLeft w:val="0"/>
      <w:marRight w:val="0"/>
      <w:marTop w:val="0"/>
      <w:marBottom w:val="0"/>
      <w:divBdr>
        <w:top w:val="none" w:sz="0" w:space="0" w:color="auto"/>
        <w:left w:val="none" w:sz="0" w:space="0" w:color="auto"/>
        <w:bottom w:val="none" w:sz="0" w:space="0" w:color="auto"/>
        <w:right w:val="none" w:sz="0" w:space="0" w:color="auto"/>
      </w:divBdr>
    </w:div>
    <w:div w:id="717707474">
      <w:bodyDiv w:val="1"/>
      <w:marLeft w:val="0"/>
      <w:marRight w:val="0"/>
      <w:marTop w:val="0"/>
      <w:marBottom w:val="0"/>
      <w:divBdr>
        <w:top w:val="none" w:sz="0" w:space="0" w:color="auto"/>
        <w:left w:val="none" w:sz="0" w:space="0" w:color="auto"/>
        <w:bottom w:val="none" w:sz="0" w:space="0" w:color="auto"/>
        <w:right w:val="none" w:sz="0" w:space="0" w:color="auto"/>
      </w:divBdr>
    </w:div>
    <w:div w:id="1432697233">
      <w:bodyDiv w:val="1"/>
      <w:marLeft w:val="0"/>
      <w:marRight w:val="0"/>
      <w:marTop w:val="0"/>
      <w:marBottom w:val="0"/>
      <w:divBdr>
        <w:top w:val="none" w:sz="0" w:space="0" w:color="auto"/>
        <w:left w:val="none" w:sz="0" w:space="0" w:color="auto"/>
        <w:bottom w:val="none" w:sz="0" w:space="0" w:color="auto"/>
        <w:right w:val="none" w:sz="0" w:space="0" w:color="auto"/>
      </w:divBdr>
    </w:div>
    <w:div w:id="1506826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sv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4472C4"/>
          </a:solidFill>
        </a:ln>
      </a:spPr>
      <a:bodyPr/>
      <a:lstStyle/>
      <a:style>
        <a:lnRef idx="1">
          <a:schemeClr val="accent1"/>
        </a:lnRef>
        <a:fillRef idx="0">
          <a:schemeClr val="accent1"/>
        </a:fillRef>
        <a:effectRef idx="0">
          <a:schemeClr val="accent1"/>
        </a:effectRef>
        <a:fontRef idx="minor">
          <a:schemeClr val="tx1"/>
        </a:fontRef>
      </a:style>
    </a:lnDef>
    <a:txDef>
      <a:spPr>
        <a:noFill/>
        <a:ln>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65D19-DADC-B547-B14D-53B24CED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1298</Words>
  <Characters>7403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Francesco Raineri</cp:lastModifiedBy>
  <cp:revision>8</cp:revision>
  <cp:lastPrinted>2019-01-16T16:42:00Z</cp:lastPrinted>
  <dcterms:created xsi:type="dcterms:W3CDTF">2019-10-03T10:05:00Z</dcterms:created>
  <dcterms:modified xsi:type="dcterms:W3CDTF">2022-12-02T15:07:00Z</dcterms:modified>
</cp:coreProperties>
</file>